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8DE1B9" w14:textId="77777777" w:rsidR="00DE42B5" w:rsidRPr="003946AA" w:rsidRDefault="00DE42B5" w:rsidP="00DE42B5">
      <w:pPr>
        <w:pStyle w:val="Heading1"/>
        <w:jc w:val="center"/>
        <w:rPr>
          <w:color w:val="365F91" w:themeColor="accent1" w:themeShade="BF"/>
        </w:rPr>
      </w:pPr>
      <w:r>
        <w:rPr>
          <w:color w:val="365F91" w:themeColor="accent1" w:themeShade="BF"/>
        </w:rPr>
        <w:t>What Counts for TRC Contact Hours?</w:t>
      </w:r>
    </w:p>
    <w:p w14:paraId="42194BA0" w14:textId="77777777" w:rsidR="00DE42B5" w:rsidRDefault="00DE42B5" w:rsidP="00DE42B5"/>
    <w:p w14:paraId="5F7715A9" w14:textId="4CCAE47C" w:rsidR="00DE42B5" w:rsidRPr="00A84F1E" w:rsidRDefault="00DE42B5" w:rsidP="00DE42B5">
      <w:pPr>
        <w:jc w:val="center"/>
        <w:rPr>
          <w:color w:val="000000" w:themeColor="text1"/>
        </w:rPr>
      </w:pPr>
      <w:r w:rsidRPr="00A84F1E">
        <w:rPr>
          <w:b/>
          <w:caps/>
          <w:color w:val="000000" w:themeColor="text1"/>
        </w:rPr>
        <w:t>Guidelines and Criteria</w:t>
      </w:r>
    </w:p>
    <w:p w14:paraId="5CECD7FF" w14:textId="5369D4F1" w:rsidR="00FD0BC9" w:rsidRPr="00DE42B5" w:rsidRDefault="00FD0BC9" w:rsidP="00E827C3">
      <w:pPr>
        <w:tabs>
          <w:tab w:val="left" w:pos="360"/>
        </w:tabs>
        <w:spacing w:after="120"/>
        <w:jc w:val="both"/>
        <w:rPr>
          <w:rFonts w:asciiTheme="majorHAnsi" w:hAnsiTheme="majorHAnsi"/>
          <w:b/>
          <w:sz w:val="22"/>
          <w:szCs w:val="22"/>
        </w:rPr>
      </w:pPr>
      <w:r w:rsidRPr="00DE42B5">
        <w:rPr>
          <w:rFonts w:asciiTheme="majorHAnsi" w:eastAsia="Times New Roman" w:hAnsiTheme="majorHAnsi" w:cs="Arial"/>
          <w:sz w:val="22"/>
          <w:szCs w:val="22"/>
        </w:rPr>
        <w:t xml:space="preserve">Project Directors should develop a comprehensive and coherent program of professional development based on the content focus recommended by the Texas Education Agency and identified in the TRC Request for Application (RFA). </w:t>
      </w:r>
      <w:r w:rsidR="00E718F1" w:rsidRPr="00DE42B5">
        <w:rPr>
          <w:rFonts w:asciiTheme="majorHAnsi" w:eastAsia="Times New Roman" w:hAnsiTheme="majorHAnsi" w:cs="Arial"/>
          <w:sz w:val="22"/>
          <w:szCs w:val="22"/>
        </w:rPr>
        <w:t>H</w:t>
      </w:r>
      <w:r w:rsidRPr="00DE42B5">
        <w:rPr>
          <w:rFonts w:asciiTheme="majorHAnsi" w:eastAsia="Times New Roman" w:hAnsiTheme="majorHAnsi" w:cs="Arial"/>
          <w:sz w:val="22"/>
          <w:szCs w:val="22"/>
        </w:rPr>
        <w:t xml:space="preserve">ours spent attending the events selected and implemented by the Project Director should constitute the majority of STM or MTM hours entered into the TRC DataCenter. In addition to the required activities outlined for STMs or MTMs, Project Directors may choose to allow some customized hours that are unique to individual mentors and that can count toward fulfillment of STM or MTM commitments. It is important that these decisions be made at the beginning of the program year, be aligned with the goals and objectives of the Regional Collaborative, and that there is agreement as to the appropriateness of selected activities in meeting the overall plan for that year’s professional development. </w:t>
      </w:r>
      <w:r w:rsidR="00E718F1" w:rsidRPr="00DE42B5">
        <w:rPr>
          <w:rFonts w:asciiTheme="majorHAnsi" w:eastAsia="Times New Roman" w:hAnsiTheme="majorHAnsi" w:cs="Arial"/>
          <w:sz w:val="22"/>
          <w:szCs w:val="22"/>
        </w:rPr>
        <w:t>Project Director</w:t>
      </w:r>
      <w:r w:rsidRPr="00DE42B5">
        <w:rPr>
          <w:rFonts w:asciiTheme="majorHAnsi" w:eastAsia="Times New Roman" w:hAnsiTheme="majorHAnsi" w:cs="Arial"/>
          <w:sz w:val="22"/>
          <w:szCs w:val="22"/>
        </w:rPr>
        <w:t>s should not allow Mentors to count as TRC hours any professional development that the Mentors were already being required to attend through their school district. For example, if a district is requiring a teacher to attend Advanced Placement (AP) Strategies training, this cannot be counted as TRC hours since no TRC resources can be used to supplant existing professional development requirements.</w:t>
      </w:r>
    </w:p>
    <w:p w14:paraId="052738BE" w14:textId="77777777" w:rsidR="00FD0BC9" w:rsidRDefault="00FD0BC9" w:rsidP="00E827C3">
      <w:pPr>
        <w:tabs>
          <w:tab w:val="left" w:pos="360"/>
        </w:tabs>
        <w:spacing w:after="120"/>
        <w:jc w:val="both"/>
        <w:rPr>
          <w:rFonts w:ascii="Arial" w:hAnsi="Arial"/>
          <w:b/>
          <w:sz w:val="22"/>
          <w:szCs w:val="22"/>
        </w:rPr>
      </w:pPr>
    </w:p>
    <w:p w14:paraId="44F24B4D" w14:textId="01F3F7DE" w:rsidR="00E827C3" w:rsidRPr="00DE42B5" w:rsidRDefault="00E827C3" w:rsidP="00E827C3">
      <w:pPr>
        <w:tabs>
          <w:tab w:val="left" w:pos="360"/>
        </w:tabs>
        <w:spacing w:after="120"/>
        <w:jc w:val="both"/>
        <w:rPr>
          <w:rFonts w:asciiTheme="minorHAnsi" w:hAnsiTheme="minorHAnsi"/>
          <w:b/>
          <w:sz w:val="22"/>
          <w:szCs w:val="22"/>
          <w:u w:val="single"/>
        </w:rPr>
      </w:pPr>
      <w:r w:rsidRPr="00DE42B5">
        <w:rPr>
          <w:rFonts w:asciiTheme="minorHAnsi" w:hAnsiTheme="minorHAnsi"/>
          <w:b/>
          <w:sz w:val="22"/>
          <w:szCs w:val="22"/>
          <w:u w:val="single"/>
        </w:rPr>
        <w:t xml:space="preserve">What Counts for TRC Contact Hours? </w:t>
      </w:r>
    </w:p>
    <w:p w14:paraId="5DB24C13" w14:textId="0113A21A" w:rsidR="004F2695" w:rsidRPr="00DE42B5" w:rsidRDefault="00AB6B9B" w:rsidP="00E827C3">
      <w:pPr>
        <w:spacing w:after="120"/>
        <w:jc w:val="both"/>
        <w:rPr>
          <w:rFonts w:asciiTheme="majorHAnsi" w:hAnsiTheme="majorHAnsi" w:cs="Arial"/>
          <w:b/>
          <w:i/>
          <w:sz w:val="22"/>
          <w:szCs w:val="22"/>
        </w:rPr>
      </w:pPr>
      <w:r w:rsidRPr="00DE42B5">
        <w:rPr>
          <w:rFonts w:asciiTheme="majorHAnsi" w:hAnsiTheme="majorHAnsi" w:cs="Arial"/>
          <w:b/>
          <w:i/>
          <w:sz w:val="22"/>
          <w:szCs w:val="22"/>
        </w:rPr>
        <w:t>The basics:</w:t>
      </w:r>
    </w:p>
    <w:p w14:paraId="647BEBD8" w14:textId="2437DA4A" w:rsidR="00AB6B9B" w:rsidRPr="00DE42B5" w:rsidRDefault="00AB6B9B" w:rsidP="00973C3D">
      <w:pPr>
        <w:pStyle w:val="ListParagraph"/>
        <w:numPr>
          <w:ilvl w:val="0"/>
          <w:numId w:val="4"/>
        </w:numPr>
        <w:spacing w:after="120"/>
        <w:jc w:val="both"/>
        <w:rPr>
          <w:rFonts w:asciiTheme="majorHAnsi" w:hAnsiTheme="majorHAnsi" w:cs="Arial"/>
          <w:sz w:val="22"/>
          <w:szCs w:val="22"/>
        </w:rPr>
      </w:pPr>
      <w:r w:rsidRPr="00DE42B5">
        <w:rPr>
          <w:rFonts w:asciiTheme="majorHAnsi" w:hAnsiTheme="majorHAnsi" w:cs="Arial"/>
          <w:sz w:val="22"/>
          <w:szCs w:val="22"/>
        </w:rPr>
        <w:t>MTMs and STMs need to receive an average of 100 contact hours of professional development during the grant period.</w:t>
      </w:r>
    </w:p>
    <w:p w14:paraId="47DDD4C1" w14:textId="032F4BA9" w:rsidR="00AB6B9B" w:rsidRPr="00DE42B5" w:rsidRDefault="00AB6B9B" w:rsidP="00973C3D">
      <w:pPr>
        <w:pStyle w:val="ListParagraph"/>
        <w:numPr>
          <w:ilvl w:val="0"/>
          <w:numId w:val="4"/>
        </w:numPr>
        <w:spacing w:after="120"/>
        <w:jc w:val="both"/>
        <w:rPr>
          <w:rFonts w:asciiTheme="majorHAnsi" w:hAnsiTheme="majorHAnsi" w:cs="Arial"/>
          <w:sz w:val="22"/>
          <w:szCs w:val="22"/>
        </w:rPr>
      </w:pPr>
      <w:r w:rsidRPr="00DE42B5">
        <w:rPr>
          <w:rFonts w:asciiTheme="majorHAnsi" w:hAnsiTheme="majorHAnsi" w:cs="Arial"/>
          <w:sz w:val="22"/>
          <w:szCs w:val="22"/>
        </w:rPr>
        <w:t xml:space="preserve">CMs need to receive an average of 12 </w:t>
      </w:r>
      <w:r w:rsidR="00973C3D" w:rsidRPr="00DE42B5">
        <w:rPr>
          <w:rFonts w:asciiTheme="majorHAnsi" w:hAnsiTheme="majorHAnsi" w:cs="Arial"/>
          <w:sz w:val="22"/>
          <w:szCs w:val="22"/>
        </w:rPr>
        <w:t xml:space="preserve">documented </w:t>
      </w:r>
      <w:r w:rsidRPr="00DE42B5">
        <w:rPr>
          <w:rFonts w:asciiTheme="majorHAnsi" w:hAnsiTheme="majorHAnsi" w:cs="Arial"/>
          <w:sz w:val="22"/>
          <w:szCs w:val="22"/>
        </w:rPr>
        <w:t>contact hours of training or support.</w:t>
      </w:r>
    </w:p>
    <w:p w14:paraId="0DBE0B1F" w14:textId="487656CE" w:rsidR="00AB6B9B" w:rsidRPr="00DE42B5" w:rsidRDefault="00AB6B9B" w:rsidP="00973C3D">
      <w:pPr>
        <w:pStyle w:val="ListParagraph"/>
        <w:numPr>
          <w:ilvl w:val="0"/>
          <w:numId w:val="4"/>
        </w:numPr>
        <w:spacing w:after="120"/>
        <w:jc w:val="both"/>
        <w:rPr>
          <w:rFonts w:asciiTheme="majorHAnsi" w:hAnsiTheme="majorHAnsi" w:cs="Arial"/>
          <w:sz w:val="22"/>
          <w:szCs w:val="22"/>
        </w:rPr>
      </w:pPr>
      <w:r w:rsidRPr="00DE42B5">
        <w:rPr>
          <w:rFonts w:asciiTheme="majorHAnsi" w:hAnsiTheme="majorHAnsi" w:cs="Arial"/>
          <w:sz w:val="22"/>
          <w:szCs w:val="22"/>
        </w:rPr>
        <w:t xml:space="preserve">Immersion CMs (those teaching on an immersion campus at the targeted immersion grade or subject) need to receive an average of 24 documented </w:t>
      </w:r>
      <w:r w:rsidR="00973C3D" w:rsidRPr="00DE42B5">
        <w:rPr>
          <w:rFonts w:asciiTheme="majorHAnsi" w:hAnsiTheme="majorHAnsi" w:cs="Arial"/>
          <w:sz w:val="22"/>
          <w:szCs w:val="22"/>
        </w:rPr>
        <w:t xml:space="preserve">contact hours of training or support.  </w:t>
      </w:r>
    </w:p>
    <w:p w14:paraId="1C1D6F30" w14:textId="6D947A8D" w:rsidR="004F2695" w:rsidRPr="00DE42B5" w:rsidRDefault="00973C3D" w:rsidP="00E827C3">
      <w:pPr>
        <w:spacing w:after="120"/>
        <w:jc w:val="both"/>
        <w:rPr>
          <w:rFonts w:asciiTheme="majorHAnsi" w:hAnsiTheme="majorHAnsi" w:cs="Arial"/>
          <w:b/>
          <w:i/>
          <w:sz w:val="22"/>
          <w:szCs w:val="22"/>
        </w:rPr>
      </w:pPr>
      <w:r w:rsidRPr="00DE42B5">
        <w:rPr>
          <w:rFonts w:asciiTheme="majorHAnsi" w:hAnsiTheme="majorHAnsi" w:cs="Arial"/>
          <w:b/>
          <w:i/>
          <w:sz w:val="22"/>
          <w:szCs w:val="22"/>
        </w:rPr>
        <w:t>Required training for Teacher Mentors:</w:t>
      </w:r>
    </w:p>
    <w:p w14:paraId="7EECF074" w14:textId="685B9764" w:rsidR="00973C3D" w:rsidRPr="00DE42B5" w:rsidRDefault="00973C3D" w:rsidP="00973C3D">
      <w:pPr>
        <w:pStyle w:val="ListParagraph"/>
        <w:numPr>
          <w:ilvl w:val="0"/>
          <w:numId w:val="5"/>
        </w:numPr>
        <w:spacing w:after="120"/>
        <w:jc w:val="both"/>
        <w:rPr>
          <w:rFonts w:asciiTheme="majorHAnsi" w:hAnsiTheme="majorHAnsi" w:cs="Arial"/>
          <w:sz w:val="22"/>
          <w:szCs w:val="22"/>
        </w:rPr>
      </w:pPr>
      <w:r w:rsidRPr="00DE42B5">
        <w:rPr>
          <w:rFonts w:asciiTheme="majorHAnsi" w:hAnsiTheme="majorHAnsi" w:cs="Arial"/>
          <w:sz w:val="22"/>
          <w:szCs w:val="22"/>
        </w:rPr>
        <w:t>Teacher Mentors (MTMs and STMs) must receive at least 40 hours of professional development in a summer institute prior to the start of the school year</w:t>
      </w:r>
      <w:r w:rsidR="002E3254" w:rsidRPr="00DE42B5">
        <w:rPr>
          <w:rFonts w:asciiTheme="majorHAnsi" w:hAnsiTheme="majorHAnsi" w:cs="Arial"/>
          <w:sz w:val="22"/>
          <w:szCs w:val="22"/>
        </w:rPr>
        <w:t xml:space="preserve"> (1</w:t>
      </w:r>
      <w:r w:rsidR="002E3254" w:rsidRPr="00DE42B5">
        <w:rPr>
          <w:rFonts w:asciiTheme="majorHAnsi" w:hAnsiTheme="majorHAnsi" w:cs="Arial"/>
          <w:sz w:val="22"/>
          <w:szCs w:val="22"/>
          <w:vertAlign w:val="superscript"/>
        </w:rPr>
        <w:t>st</w:t>
      </w:r>
      <w:r w:rsidR="002E3254" w:rsidRPr="00DE42B5">
        <w:rPr>
          <w:rFonts w:asciiTheme="majorHAnsi" w:hAnsiTheme="majorHAnsi" w:cs="Arial"/>
          <w:sz w:val="22"/>
          <w:szCs w:val="22"/>
        </w:rPr>
        <w:t xml:space="preserve"> summer of the grant)</w:t>
      </w:r>
      <w:r w:rsidRPr="00DE42B5">
        <w:rPr>
          <w:rFonts w:asciiTheme="majorHAnsi" w:hAnsiTheme="majorHAnsi" w:cs="Arial"/>
          <w:sz w:val="22"/>
          <w:szCs w:val="22"/>
        </w:rPr>
        <w:t>.</w:t>
      </w:r>
    </w:p>
    <w:p w14:paraId="303F48B3" w14:textId="288C7F22" w:rsidR="004F2695" w:rsidRPr="00DE42B5" w:rsidRDefault="00973C3D" w:rsidP="00973C3D">
      <w:pPr>
        <w:pStyle w:val="ListParagraph"/>
        <w:numPr>
          <w:ilvl w:val="0"/>
          <w:numId w:val="5"/>
        </w:numPr>
        <w:spacing w:after="120"/>
        <w:jc w:val="both"/>
        <w:rPr>
          <w:rFonts w:asciiTheme="majorHAnsi" w:hAnsiTheme="majorHAnsi" w:cs="Arial"/>
          <w:sz w:val="22"/>
          <w:szCs w:val="22"/>
        </w:rPr>
      </w:pPr>
      <w:r w:rsidRPr="00DE42B5">
        <w:rPr>
          <w:rFonts w:asciiTheme="majorHAnsi" w:hAnsiTheme="majorHAnsi" w:cs="Arial"/>
          <w:sz w:val="22"/>
          <w:szCs w:val="22"/>
        </w:rPr>
        <w:t>During the grant period, Teacher Mentors must receive at least 40</w:t>
      </w:r>
      <w:r w:rsidR="00C1178F" w:rsidRPr="00DE42B5">
        <w:rPr>
          <w:rFonts w:asciiTheme="majorHAnsi" w:hAnsiTheme="majorHAnsi" w:cs="Arial"/>
          <w:sz w:val="22"/>
          <w:szCs w:val="22"/>
        </w:rPr>
        <w:t xml:space="preserve"> hours of content instruction as specified by the TRC and TEA.</w:t>
      </w:r>
    </w:p>
    <w:p w14:paraId="06D4C0B7" w14:textId="7A9E61F5" w:rsidR="004F2695" w:rsidRPr="00DE42B5" w:rsidRDefault="003E3775" w:rsidP="00E827C3">
      <w:pPr>
        <w:spacing w:after="120"/>
        <w:jc w:val="both"/>
        <w:rPr>
          <w:rFonts w:asciiTheme="majorHAnsi" w:hAnsiTheme="majorHAnsi" w:cs="Arial"/>
          <w:b/>
          <w:i/>
          <w:sz w:val="22"/>
          <w:szCs w:val="22"/>
        </w:rPr>
      </w:pPr>
      <w:r w:rsidRPr="00DE42B5">
        <w:rPr>
          <w:rFonts w:asciiTheme="majorHAnsi" w:hAnsiTheme="majorHAnsi" w:cs="Arial"/>
          <w:b/>
          <w:i/>
          <w:sz w:val="22"/>
          <w:szCs w:val="22"/>
        </w:rPr>
        <w:t>Ways to receive contact hours</w:t>
      </w:r>
      <w:r w:rsidR="00973C3D" w:rsidRPr="00DE42B5">
        <w:rPr>
          <w:rFonts w:asciiTheme="majorHAnsi" w:hAnsiTheme="majorHAnsi" w:cs="Arial"/>
          <w:b/>
          <w:i/>
          <w:sz w:val="22"/>
          <w:szCs w:val="22"/>
        </w:rPr>
        <w:t>:</w:t>
      </w:r>
    </w:p>
    <w:p w14:paraId="32B20038" w14:textId="71BF41B4" w:rsidR="007D4EFE" w:rsidRPr="00DE42B5" w:rsidRDefault="007D4EFE" w:rsidP="00834430">
      <w:pPr>
        <w:pStyle w:val="ListParagraph"/>
        <w:numPr>
          <w:ilvl w:val="0"/>
          <w:numId w:val="6"/>
        </w:numPr>
        <w:spacing w:after="120"/>
        <w:jc w:val="both"/>
        <w:rPr>
          <w:rFonts w:asciiTheme="majorHAnsi" w:hAnsiTheme="majorHAnsi" w:cs="Arial"/>
          <w:sz w:val="22"/>
          <w:szCs w:val="22"/>
        </w:rPr>
      </w:pPr>
      <w:r w:rsidRPr="00DE42B5">
        <w:rPr>
          <w:rFonts w:asciiTheme="majorHAnsi" w:hAnsiTheme="majorHAnsi" w:cs="Arial"/>
          <w:sz w:val="22"/>
          <w:szCs w:val="22"/>
        </w:rPr>
        <w:t>Summer Institute offered by the individual Collaborative.</w:t>
      </w:r>
    </w:p>
    <w:p w14:paraId="742E68A2" w14:textId="6D88068E" w:rsidR="00973C3D" w:rsidRPr="00DE42B5" w:rsidRDefault="003E3775" w:rsidP="00834430">
      <w:pPr>
        <w:pStyle w:val="ListParagraph"/>
        <w:numPr>
          <w:ilvl w:val="0"/>
          <w:numId w:val="6"/>
        </w:numPr>
        <w:spacing w:after="120"/>
        <w:jc w:val="both"/>
        <w:rPr>
          <w:rFonts w:asciiTheme="majorHAnsi" w:hAnsiTheme="majorHAnsi" w:cs="Arial"/>
          <w:sz w:val="22"/>
          <w:szCs w:val="22"/>
        </w:rPr>
      </w:pPr>
      <w:r w:rsidRPr="00DE42B5">
        <w:rPr>
          <w:rFonts w:asciiTheme="majorHAnsi" w:hAnsiTheme="majorHAnsi" w:cs="Arial"/>
          <w:sz w:val="22"/>
          <w:szCs w:val="22"/>
        </w:rPr>
        <w:t xml:space="preserve">Training offered by either the TRC or individual Collaborative.  </w:t>
      </w:r>
    </w:p>
    <w:p w14:paraId="2920E1ED" w14:textId="69E89DDF" w:rsidR="003E3775" w:rsidRPr="00DE42B5" w:rsidRDefault="003E3775" w:rsidP="00834430">
      <w:pPr>
        <w:pStyle w:val="ListParagraph"/>
        <w:numPr>
          <w:ilvl w:val="0"/>
          <w:numId w:val="6"/>
        </w:numPr>
        <w:spacing w:after="120"/>
        <w:jc w:val="both"/>
        <w:rPr>
          <w:rFonts w:asciiTheme="majorHAnsi" w:hAnsiTheme="majorHAnsi" w:cs="Arial"/>
          <w:sz w:val="22"/>
          <w:szCs w:val="22"/>
        </w:rPr>
      </w:pPr>
      <w:r w:rsidRPr="00DE42B5">
        <w:rPr>
          <w:rFonts w:asciiTheme="majorHAnsi" w:hAnsiTheme="majorHAnsi" w:cs="Arial"/>
          <w:sz w:val="22"/>
          <w:szCs w:val="22"/>
        </w:rPr>
        <w:t xml:space="preserve">Mentoring – Teacher Mentors can </w:t>
      </w:r>
      <w:r w:rsidR="00C1178F" w:rsidRPr="00DE42B5">
        <w:rPr>
          <w:rFonts w:asciiTheme="majorHAnsi" w:hAnsiTheme="majorHAnsi" w:cs="Arial"/>
          <w:sz w:val="22"/>
          <w:szCs w:val="22"/>
        </w:rPr>
        <w:t>earn</w:t>
      </w:r>
      <w:r w:rsidRPr="00DE42B5">
        <w:rPr>
          <w:rFonts w:asciiTheme="majorHAnsi" w:hAnsiTheme="majorHAnsi" w:cs="Arial"/>
          <w:sz w:val="22"/>
          <w:szCs w:val="22"/>
        </w:rPr>
        <w:t xml:space="preserve"> up to 12 hours for mentoring CMs.</w:t>
      </w:r>
    </w:p>
    <w:p w14:paraId="76F0DC32" w14:textId="45AB2566" w:rsidR="003E3775" w:rsidRPr="00DE42B5" w:rsidRDefault="003E3775" w:rsidP="00834430">
      <w:pPr>
        <w:pStyle w:val="ListParagraph"/>
        <w:numPr>
          <w:ilvl w:val="0"/>
          <w:numId w:val="6"/>
        </w:numPr>
        <w:spacing w:after="120"/>
        <w:jc w:val="both"/>
        <w:rPr>
          <w:rFonts w:asciiTheme="majorHAnsi" w:hAnsiTheme="majorHAnsi" w:cs="Arial"/>
          <w:sz w:val="22"/>
          <w:szCs w:val="22"/>
        </w:rPr>
      </w:pPr>
      <w:r w:rsidRPr="00DE42B5">
        <w:rPr>
          <w:rFonts w:asciiTheme="majorHAnsi" w:hAnsiTheme="majorHAnsi" w:cs="Arial"/>
          <w:sz w:val="22"/>
          <w:szCs w:val="22"/>
        </w:rPr>
        <w:lastRenderedPageBreak/>
        <w:t xml:space="preserve">Online training – Teacher Mentors can </w:t>
      </w:r>
      <w:r w:rsidR="00C1178F" w:rsidRPr="00DE42B5">
        <w:rPr>
          <w:rFonts w:asciiTheme="majorHAnsi" w:hAnsiTheme="majorHAnsi" w:cs="Arial"/>
          <w:sz w:val="22"/>
          <w:szCs w:val="22"/>
        </w:rPr>
        <w:t>earn</w:t>
      </w:r>
      <w:r w:rsidRPr="00DE42B5">
        <w:rPr>
          <w:rFonts w:asciiTheme="majorHAnsi" w:hAnsiTheme="majorHAnsi" w:cs="Arial"/>
          <w:sz w:val="22"/>
          <w:szCs w:val="22"/>
        </w:rPr>
        <w:t xml:space="preserve"> up to 24 hours for online </w:t>
      </w:r>
      <w:r w:rsidR="004D7944" w:rsidRPr="00DE42B5">
        <w:rPr>
          <w:rFonts w:asciiTheme="majorHAnsi" w:hAnsiTheme="majorHAnsi" w:cs="Arial"/>
          <w:sz w:val="22"/>
          <w:szCs w:val="22"/>
        </w:rPr>
        <w:t>professional development</w:t>
      </w:r>
      <w:r w:rsidR="007D4EFE" w:rsidRPr="00DE42B5">
        <w:rPr>
          <w:rFonts w:asciiTheme="majorHAnsi" w:hAnsiTheme="majorHAnsi" w:cs="Arial"/>
          <w:sz w:val="22"/>
          <w:szCs w:val="22"/>
        </w:rPr>
        <w:t xml:space="preserve"> such as asynchronous coursework or modules such as book study, the NSTA Learning Center, or Project Share.  </w:t>
      </w:r>
      <w:r w:rsidR="008E0394" w:rsidRPr="00DE42B5">
        <w:rPr>
          <w:rFonts w:asciiTheme="majorHAnsi" w:hAnsiTheme="majorHAnsi" w:cs="Arial"/>
          <w:sz w:val="22"/>
          <w:szCs w:val="22"/>
        </w:rPr>
        <w:t xml:space="preserve">Any online training should be </w:t>
      </w:r>
      <w:r w:rsidR="004D7944" w:rsidRPr="00DE42B5">
        <w:rPr>
          <w:rFonts w:asciiTheme="majorHAnsi" w:hAnsiTheme="majorHAnsi" w:cs="Arial"/>
          <w:sz w:val="22"/>
          <w:szCs w:val="22"/>
        </w:rPr>
        <w:t>aligned with</w:t>
      </w:r>
      <w:r w:rsidR="008E0394" w:rsidRPr="00DE42B5">
        <w:rPr>
          <w:rFonts w:asciiTheme="majorHAnsi" w:hAnsiTheme="majorHAnsi" w:cs="Arial"/>
          <w:sz w:val="22"/>
          <w:szCs w:val="22"/>
        </w:rPr>
        <w:t xml:space="preserve"> the focus of the Collaborative program for the year.  </w:t>
      </w:r>
      <w:r w:rsidR="00FD0BC9" w:rsidRPr="00DE42B5">
        <w:rPr>
          <w:rFonts w:asciiTheme="majorHAnsi" w:hAnsiTheme="majorHAnsi" w:cs="Arial"/>
          <w:sz w:val="22"/>
          <w:szCs w:val="22"/>
        </w:rPr>
        <w:t>Participation must be documented</w:t>
      </w:r>
      <w:r w:rsidR="00C1178F" w:rsidRPr="00DE42B5">
        <w:rPr>
          <w:rFonts w:asciiTheme="majorHAnsi" w:hAnsiTheme="majorHAnsi" w:cs="Arial"/>
          <w:sz w:val="22"/>
          <w:szCs w:val="22"/>
        </w:rPr>
        <w:t>.</w:t>
      </w:r>
    </w:p>
    <w:p w14:paraId="2AF1DD1C" w14:textId="30BE7416" w:rsidR="004F2695" w:rsidRPr="00DE42B5" w:rsidRDefault="00420039" w:rsidP="00834430">
      <w:pPr>
        <w:pStyle w:val="ListParagraph"/>
        <w:numPr>
          <w:ilvl w:val="0"/>
          <w:numId w:val="6"/>
        </w:numPr>
        <w:spacing w:after="120"/>
        <w:jc w:val="both"/>
        <w:rPr>
          <w:rFonts w:asciiTheme="majorHAnsi" w:hAnsiTheme="majorHAnsi" w:cs="Arial"/>
          <w:sz w:val="22"/>
          <w:szCs w:val="22"/>
        </w:rPr>
      </w:pPr>
      <w:r w:rsidRPr="00DE42B5">
        <w:rPr>
          <w:rFonts w:asciiTheme="majorHAnsi" w:hAnsiTheme="majorHAnsi" w:cs="Arial"/>
          <w:sz w:val="22"/>
          <w:szCs w:val="22"/>
        </w:rPr>
        <w:t xml:space="preserve">Conferences and the TRC Annual Meeting – Teacher Mentors can </w:t>
      </w:r>
      <w:r w:rsidR="00C1178F" w:rsidRPr="00DE42B5">
        <w:rPr>
          <w:rFonts w:asciiTheme="majorHAnsi" w:hAnsiTheme="majorHAnsi" w:cs="Arial"/>
          <w:sz w:val="22"/>
          <w:szCs w:val="22"/>
        </w:rPr>
        <w:t xml:space="preserve">earn </w:t>
      </w:r>
      <w:r w:rsidR="00E96E43" w:rsidRPr="00DE42B5">
        <w:rPr>
          <w:rFonts w:asciiTheme="majorHAnsi" w:hAnsiTheme="majorHAnsi" w:cs="Arial"/>
          <w:sz w:val="22"/>
          <w:szCs w:val="22"/>
        </w:rPr>
        <w:t>up to 20</w:t>
      </w:r>
      <w:r w:rsidRPr="00DE42B5">
        <w:rPr>
          <w:rFonts w:asciiTheme="majorHAnsi" w:hAnsiTheme="majorHAnsi" w:cs="Arial"/>
          <w:sz w:val="22"/>
          <w:szCs w:val="22"/>
        </w:rPr>
        <w:t xml:space="preserve"> hours for attendance at sessions during professional conferences and the TRC Annual Meeting</w:t>
      </w:r>
      <w:r w:rsidR="00834430" w:rsidRPr="00DE42B5">
        <w:rPr>
          <w:rFonts w:asciiTheme="majorHAnsi" w:hAnsiTheme="majorHAnsi" w:cs="Arial"/>
          <w:sz w:val="22"/>
          <w:szCs w:val="22"/>
        </w:rPr>
        <w:t xml:space="preserve">. </w:t>
      </w:r>
      <w:r w:rsidR="00C802AA" w:rsidRPr="00DE42B5">
        <w:rPr>
          <w:rFonts w:asciiTheme="majorHAnsi" w:hAnsiTheme="majorHAnsi" w:cs="Arial"/>
          <w:sz w:val="22"/>
          <w:szCs w:val="22"/>
        </w:rPr>
        <w:t>Participation must be documented.</w:t>
      </w:r>
      <w:r w:rsidR="00834430" w:rsidRPr="00DE42B5">
        <w:rPr>
          <w:rFonts w:asciiTheme="majorHAnsi" w:hAnsiTheme="majorHAnsi" w:cs="Arial"/>
          <w:sz w:val="22"/>
          <w:szCs w:val="22"/>
        </w:rPr>
        <w:t xml:space="preserve"> </w:t>
      </w:r>
    </w:p>
    <w:p w14:paraId="4E2D59D3" w14:textId="77777777" w:rsidR="00DE42B5" w:rsidRPr="00DE42B5" w:rsidRDefault="00DE42B5" w:rsidP="00C1178F">
      <w:pPr>
        <w:spacing w:after="120"/>
        <w:jc w:val="both"/>
        <w:rPr>
          <w:rFonts w:asciiTheme="majorHAnsi" w:hAnsiTheme="majorHAnsi" w:cs="Arial"/>
          <w:i/>
          <w:sz w:val="22"/>
          <w:szCs w:val="22"/>
        </w:rPr>
      </w:pPr>
    </w:p>
    <w:p w14:paraId="2F3298DA" w14:textId="4FD12F94" w:rsidR="00C1178F" w:rsidRPr="00DE42B5" w:rsidRDefault="00C1178F" w:rsidP="00C1178F">
      <w:pPr>
        <w:spacing w:after="120"/>
        <w:jc w:val="both"/>
        <w:rPr>
          <w:rFonts w:asciiTheme="majorHAnsi" w:hAnsiTheme="majorHAnsi" w:cs="Arial"/>
          <w:b/>
          <w:i/>
          <w:sz w:val="22"/>
          <w:szCs w:val="22"/>
        </w:rPr>
      </w:pPr>
      <w:r w:rsidRPr="00DE42B5">
        <w:rPr>
          <w:rFonts w:asciiTheme="majorHAnsi" w:hAnsiTheme="majorHAnsi" w:cs="Arial"/>
          <w:b/>
          <w:i/>
          <w:sz w:val="22"/>
          <w:szCs w:val="22"/>
        </w:rPr>
        <w:t>Documenting TRC hours:</w:t>
      </w:r>
    </w:p>
    <w:p w14:paraId="1204738A" w14:textId="160AEB36" w:rsidR="00C1178F" w:rsidRPr="00DE42B5" w:rsidRDefault="00C1178F" w:rsidP="00C1178F">
      <w:pPr>
        <w:pStyle w:val="ListParagraph"/>
        <w:numPr>
          <w:ilvl w:val="0"/>
          <w:numId w:val="7"/>
        </w:numPr>
        <w:spacing w:after="120"/>
        <w:jc w:val="both"/>
        <w:rPr>
          <w:rFonts w:asciiTheme="majorHAnsi" w:hAnsiTheme="majorHAnsi" w:cs="Arial"/>
          <w:sz w:val="22"/>
          <w:szCs w:val="22"/>
        </w:rPr>
      </w:pPr>
      <w:r w:rsidRPr="00DE42B5">
        <w:rPr>
          <w:rFonts w:asciiTheme="majorHAnsi" w:hAnsiTheme="majorHAnsi" w:cs="Arial"/>
          <w:sz w:val="22"/>
          <w:szCs w:val="22"/>
        </w:rPr>
        <w:t xml:space="preserve">All </w:t>
      </w:r>
      <w:r w:rsidRPr="00DE42B5">
        <w:rPr>
          <w:rFonts w:asciiTheme="majorHAnsi" w:hAnsiTheme="majorHAnsi" w:cs="Arial"/>
          <w:b/>
          <w:sz w:val="22"/>
          <w:szCs w:val="22"/>
        </w:rPr>
        <w:t>workshops or college courses</w:t>
      </w:r>
      <w:r w:rsidRPr="00DE42B5">
        <w:rPr>
          <w:rFonts w:asciiTheme="majorHAnsi" w:hAnsiTheme="majorHAnsi" w:cs="Arial"/>
          <w:sz w:val="22"/>
          <w:szCs w:val="22"/>
        </w:rPr>
        <w:t xml:space="preserve"> offered as part of a Regional Collaborative’s event timeline must include an agenda (or syllabus in the case of a college course) and a sign-sheet (or verification of course completion for college courses).</w:t>
      </w:r>
    </w:p>
    <w:p w14:paraId="0694D062" w14:textId="012585B5" w:rsidR="00C1178F" w:rsidRPr="00DE42B5" w:rsidRDefault="00C1178F" w:rsidP="00C1178F">
      <w:pPr>
        <w:pStyle w:val="ListParagraph"/>
        <w:numPr>
          <w:ilvl w:val="0"/>
          <w:numId w:val="7"/>
        </w:numPr>
        <w:spacing w:after="120"/>
        <w:jc w:val="both"/>
        <w:rPr>
          <w:rFonts w:asciiTheme="majorHAnsi" w:hAnsiTheme="majorHAnsi" w:cs="Arial"/>
          <w:sz w:val="22"/>
          <w:szCs w:val="22"/>
        </w:rPr>
      </w:pPr>
      <w:r w:rsidRPr="00DE42B5">
        <w:rPr>
          <w:rFonts w:asciiTheme="majorHAnsi" w:hAnsiTheme="majorHAnsi" w:cs="Arial"/>
          <w:b/>
          <w:sz w:val="22"/>
          <w:szCs w:val="22"/>
        </w:rPr>
        <w:t xml:space="preserve">Mentoring – </w:t>
      </w:r>
      <w:r w:rsidR="00457E6A" w:rsidRPr="00DE42B5">
        <w:rPr>
          <w:rFonts w:asciiTheme="majorHAnsi" w:hAnsiTheme="majorHAnsi" w:cs="Arial"/>
          <w:sz w:val="22"/>
          <w:szCs w:val="22"/>
        </w:rPr>
        <w:t>Mentoring events should be specific to the Mentor</w:t>
      </w:r>
      <w:r w:rsidRPr="00DE42B5">
        <w:rPr>
          <w:rFonts w:asciiTheme="majorHAnsi" w:hAnsiTheme="majorHAnsi" w:cs="Arial"/>
          <w:sz w:val="22"/>
          <w:szCs w:val="22"/>
        </w:rPr>
        <w:t xml:space="preserve"> in the TRC DataCenter. In order to meet benchmark goals for hours delivered to CMs, it is recommended that a separate event for Fall Mentoring and one for Spring Mentoring be created</w:t>
      </w:r>
      <w:r w:rsidR="003F6806" w:rsidRPr="00DE42B5">
        <w:rPr>
          <w:rFonts w:asciiTheme="majorHAnsi" w:hAnsiTheme="majorHAnsi" w:cs="Arial"/>
          <w:sz w:val="22"/>
          <w:szCs w:val="22"/>
        </w:rPr>
        <w:t xml:space="preserve"> for each Mentor</w:t>
      </w:r>
      <w:r w:rsidRPr="00DE42B5">
        <w:rPr>
          <w:rFonts w:asciiTheme="majorHAnsi" w:hAnsiTheme="majorHAnsi" w:cs="Arial"/>
          <w:sz w:val="22"/>
          <w:szCs w:val="22"/>
        </w:rPr>
        <w:t>.</w:t>
      </w:r>
      <w:r w:rsidR="00457E6A" w:rsidRPr="00DE42B5">
        <w:rPr>
          <w:rFonts w:asciiTheme="majorHAnsi" w:hAnsiTheme="majorHAnsi" w:cs="Arial"/>
          <w:sz w:val="22"/>
          <w:szCs w:val="22"/>
        </w:rPr>
        <w:t xml:space="preserve"> For example, if Justin </w:t>
      </w:r>
      <w:proofErr w:type="spellStart"/>
      <w:r w:rsidR="00457E6A" w:rsidRPr="00DE42B5">
        <w:rPr>
          <w:rFonts w:asciiTheme="majorHAnsi" w:hAnsiTheme="majorHAnsi" w:cs="Arial"/>
          <w:sz w:val="22"/>
          <w:szCs w:val="22"/>
        </w:rPr>
        <w:t>Beiber</w:t>
      </w:r>
      <w:proofErr w:type="spellEnd"/>
      <w:r w:rsidR="00457E6A" w:rsidRPr="00DE42B5">
        <w:rPr>
          <w:rFonts w:asciiTheme="majorHAnsi" w:hAnsiTheme="majorHAnsi" w:cs="Arial"/>
          <w:sz w:val="22"/>
          <w:szCs w:val="22"/>
        </w:rPr>
        <w:t xml:space="preserve"> is an STM, there should be two events in the DataCenter if Justin has mentored in both the fall and spring. One could be called </w:t>
      </w:r>
      <w:r w:rsidR="00457E6A" w:rsidRPr="00DE42B5">
        <w:rPr>
          <w:rFonts w:asciiTheme="majorHAnsi" w:hAnsiTheme="majorHAnsi" w:cs="Arial"/>
          <w:i/>
          <w:sz w:val="22"/>
          <w:szCs w:val="22"/>
        </w:rPr>
        <w:t xml:space="preserve">Justin </w:t>
      </w:r>
      <w:proofErr w:type="spellStart"/>
      <w:r w:rsidR="00457E6A" w:rsidRPr="00DE42B5">
        <w:rPr>
          <w:rFonts w:asciiTheme="majorHAnsi" w:hAnsiTheme="majorHAnsi" w:cs="Arial"/>
          <w:i/>
          <w:sz w:val="22"/>
          <w:szCs w:val="22"/>
        </w:rPr>
        <w:t>Beiber</w:t>
      </w:r>
      <w:proofErr w:type="spellEnd"/>
      <w:r w:rsidR="00457E6A" w:rsidRPr="00DE42B5">
        <w:rPr>
          <w:rFonts w:asciiTheme="majorHAnsi" w:hAnsiTheme="majorHAnsi" w:cs="Arial"/>
          <w:i/>
          <w:sz w:val="22"/>
          <w:szCs w:val="22"/>
        </w:rPr>
        <w:t xml:space="preserve"> Fall 2013 Mentoring</w:t>
      </w:r>
      <w:r w:rsidR="00457E6A" w:rsidRPr="00DE42B5">
        <w:rPr>
          <w:rFonts w:asciiTheme="majorHAnsi" w:hAnsiTheme="majorHAnsi" w:cs="Arial"/>
          <w:sz w:val="22"/>
          <w:szCs w:val="22"/>
        </w:rPr>
        <w:t xml:space="preserve"> and one </w:t>
      </w:r>
      <w:r w:rsidR="00457E6A" w:rsidRPr="00DE42B5">
        <w:rPr>
          <w:rFonts w:asciiTheme="majorHAnsi" w:hAnsiTheme="majorHAnsi" w:cs="Arial"/>
          <w:i/>
          <w:sz w:val="22"/>
          <w:szCs w:val="22"/>
        </w:rPr>
        <w:t xml:space="preserve">Justin </w:t>
      </w:r>
      <w:proofErr w:type="spellStart"/>
      <w:r w:rsidR="00457E6A" w:rsidRPr="00DE42B5">
        <w:rPr>
          <w:rFonts w:asciiTheme="majorHAnsi" w:hAnsiTheme="majorHAnsi" w:cs="Arial"/>
          <w:i/>
          <w:sz w:val="22"/>
          <w:szCs w:val="22"/>
        </w:rPr>
        <w:t>Beiber</w:t>
      </w:r>
      <w:proofErr w:type="spellEnd"/>
      <w:r w:rsidR="00457E6A" w:rsidRPr="00DE42B5">
        <w:rPr>
          <w:rFonts w:asciiTheme="majorHAnsi" w:hAnsiTheme="majorHAnsi" w:cs="Arial"/>
          <w:i/>
          <w:sz w:val="22"/>
          <w:szCs w:val="22"/>
        </w:rPr>
        <w:t xml:space="preserve"> Spring 2014 Mentoring</w:t>
      </w:r>
      <w:r w:rsidR="00457E6A" w:rsidRPr="00DE42B5">
        <w:rPr>
          <w:rFonts w:asciiTheme="majorHAnsi" w:hAnsiTheme="majorHAnsi" w:cs="Arial"/>
          <w:sz w:val="22"/>
          <w:szCs w:val="22"/>
        </w:rPr>
        <w:t>.</w:t>
      </w:r>
      <w:r w:rsidRPr="00DE42B5">
        <w:rPr>
          <w:rFonts w:asciiTheme="majorHAnsi" w:hAnsiTheme="majorHAnsi" w:cs="Arial"/>
          <w:sz w:val="22"/>
          <w:szCs w:val="22"/>
        </w:rPr>
        <w:t xml:space="preserve"> In each mentoring event, </w:t>
      </w:r>
      <w:r w:rsidR="00457E6A" w:rsidRPr="00DE42B5">
        <w:rPr>
          <w:rFonts w:asciiTheme="majorHAnsi" w:hAnsiTheme="majorHAnsi" w:cs="Arial"/>
          <w:sz w:val="22"/>
          <w:szCs w:val="22"/>
        </w:rPr>
        <w:t>attendees can include both the Teacher Mentor and the CMs involved. A mentoring log is required for documentation (samples can be found in the Project Director Resources section of the TRC website). The log should include verification by CMs that training occurred. No agendas are required for mentoring. If training is provided to CMs through mentoring that is connected closely to a TRC PDA, this should be noted in the event.</w:t>
      </w:r>
    </w:p>
    <w:p w14:paraId="3D4949B3" w14:textId="0FFA8658" w:rsidR="00F322C6" w:rsidRPr="00DE42B5" w:rsidRDefault="00F322C6" w:rsidP="00C1178F">
      <w:pPr>
        <w:pStyle w:val="ListParagraph"/>
        <w:numPr>
          <w:ilvl w:val="0"/>
          <w:numId w:val="7"/>
        </w:numPr>
        <w:spacing w:after="120"/>
        <w:jc w:val="both"/>
        <w:rPr>
          <w:rFonts w:asciiTheme="majorHAnsi" w:hAnsiTheme="majorHAnsi" w:cs="Arial"/>
          <w:b/>
          <w:sz w:val="22"/>
          <w:szCs w:val="22"/>
        </w:rPr>
      </w:pPr>
      <w:r w:rsidRPr="00DE42B5">
        <w:rPr>
          <w:rFonts w:asciiTheme="majorHAnsi" w:hAnsiTheme="majorHAnsi" w:cs="Arial"/>
          <w:b/>
          <w:sz w:val="22"/>
          <w:szCs w:val="22"/>
        </w:rPr>
        <w:t xml:space="preserve">Online Courses – </w:t>
      </w:r>
      <w:r w:rsidRPr="00DE42B5">
        <w:rPr>
          <w:rFonts w:asciiTheme="majorHAnsi" w:hAnsiTheme="majorHAnsi" w:cs="Arial"/>
          <w:sz w:val="22"/>
          <w:szCs w:val="22"/>
        </w:rPr>
        <w:t>An agenda, syllabus or summary of course requirements and verification of completion of an online course (serves as the sign-in sheet) should be included as required documentation for any online events.</w:t>
      </w:r>
    </w:p>
    <w:p w14:paraId="19009BCA" w14:textId="41900F3E" w:rsidR="00F322C6" w:rsidRPr="00DE42B5" w:rsidRDefault="00F322C6" w:rsidP="00C1178F">
      <w:pPr>
        <w:pStyle w:val="ListParagraph"/>
        <w:numPr>
          <w:ilvl w:val="0"/>
          <w:numId w:val="7"/>
        </w:numPr>
        <w:spacing w:after="120"/>
        <w:jc w:val="both"/>
        <w:rPr>
          <w:rFonts w:asciiTheme="majorHAnsi" w:hAnsiTheme="majorHAnsi" w:cs="Arial"/>
          <w:b/>
          <w:sz w:val="22"/>
          <w:szCs w:val="22"/>
        </w:rPr>
      </w:pPr>
      <w:r w:rsidRPr="00DE42B5">
        <w:rPr>
          <w:rFonts w:asciiTheme="majorHAnsi" w:hAnsiTheme="majorHAnsi" w:cs="Arial"/>
          <w:b/>
          <w:sz w:val="22"/>
          <w:szCs w:val="22"/>
        </w:rPr>
        <w:t>Conferences</w:t>
      </w:r>
      <w:r w:rsidRPr="00DE42B5">
        <w:rPr>
          <w:rFonts w:asciiTheme="majorHAnsi" w:hAnsiTheme="majorHAnsi" w:cs="Arial"/>
          <w:sz w:val="22"/>
          <w:szCs w:val="22"/>
        </w:rPr>
        <w:t xml:space="preserve"> </w:t>
      </w:r>
      <w:r w:rsidR="00E96E43" w:rsidRPr="00DE42B5">
        <w:rPr>
          <w:rFonts w:asciiTheme="majorHAnsi" w:hAnsiTheme="majorHAnsi" w:cs="Arial"/>
          <w:sz w:val="22"/>
          <w:szCs w:val="22"/>
        </w:rPr>
        <w:t>–</w:t>
      </w:r>
      <w:r w:rsidRPr="00DE42B5">
        <w:rPr>
          <w:rFonts w:asciiTheme="majorHAnsi" w:hAnsiTheme="majorHAnsi" w:cs="Arial"/>
          <w:sz w:val="22"/>
          <w:szCs w:val="22"/>
        </w:rPr>
        <w:t xml:space="preserve"> </w:t>
      </w:r>
      <w:r w:rsidR="00E96E43" w:rsidRPr="00DE42B5">
        <w:rPr>
          <w:rFonts w:asciiTheme="majorHAnsi" w:hAnsiTheme="majorHAnsi" w:cs="Arial"/>
          <w:sz w:val="22"/>
          <w:szCs w:val="22"/>
        </w:rPr>
        <w:t xml:space="preserve">Conference attendees should provide their Project Director with a list of actual sessions attended to receive credit for conference attendance. This can serve as the sign-in sheet. The agenda can include a scanned copy of the conference program overview. </w:t>
      </w:r>
    </w:p>
    <w:p w14:paraId="7627C0B1" w14:textId="77777777" w:rsidR="004F2695" w:rsidRPr="00DE42B5" w:rsidRDefault="004F2695" w:rsidP="00E827C3">
      <w:pPr>
        <w:spacing w:after="120"/>
        <w:jc w:val="both"/>
        <w:rPr>
          <w:rFonts w:asciiTheme="majorHAnsi" w:hAnsiTheme="majorHAnsi" w:cs="Arial"/>
          <w:sz w:val="22"/>
          <w:szCs w:val="22"/>
        </w:rPr>
      </w:pPr>
    </w:p>
    <w:p w14:paraId="6E184860" w14:textId="1EAC34CD" w:rsidR="004F2695" w:rsidRPr="00DE42B5" w:rsidRDefault="00834430" w:rsidP="00E827C3">
      <w:pPr>
        <w:spacing w:after="120"/>
        <w:jc w:val="both"/>
        <w:rPr>
          <w:rFonts w:asciiTheme="minorHAnsi" w:hAnsiTheme="minorHAnsi" w:cs="Arial"/>
          <w:sz w:val="22"/>
          <w:szCs w:val="22"/>
          <w:u w:val="single"/>
        </w:rPr>
      </w:pPr>
      <w:r w:rsidRPr="00DE42B5">
        <w:rPr>
          <w:rFonts w:asciiTheme="minorHAnsi" w:hAnsiTheme="minorHAnsi"/>
          <w:b/>
          <w:sz w:val="22"/>
          <w:szCs w:val="22"/>
          <w:u w:val="single"/>
        </w:rPr>
        <w:t>Counting Non-TRC Professional Development</w:t>
      </w:r>
    </w:p>
    <w:p w14:paraId="1E3F9EC5" w14:textId="77777777" w:rsidR="00E827C3" w:rsidRPr="00DE42B5" w:rsidRDefault="00E827C3" w:rsidP="00E827C3">
      <w:pPr>
        <w:spacing w:after="120"/>
        <w:jc w:val="both"/>
        <w:rPr>
          <w:rFonts w:asciiTheme="majorHAnsi" w:hAnsiTheme="majorHAnsi" w:cs="Arial"/>
          <w:sz w:val="22"/>
          <w:szCs w:val="22"/>
        </w:rPr>
      </w:pPr>
      <w:r w:rsidRPr="00DE42B5">
        <w:rPr>
          <w:rFonts w:asciiTheme="majorHAnsi" w:hAnsiTheme="majorHAnsi" w:cs="Arial"/>
          <w:sz w:val="22"/>
          <w:szCs w:val="22"/>
        </w:rPr>
        <w:t>The common goal of</w:t>
      </w:r>
      <w:r w:rsidRPr="00DE42B5">
        <w:rPr>
          <w:rFonts w:asciiTheme="majorHAnsi" w:hAnsiTheme="majorHAnsi" w:cs="Arial"/>
          <w:color w:val="FF0000"/>
          <w:sz w:val="22"/>
          <w:szCs w:val="22"/>
        </w:rPr>
        <w:t xml:space="preserve"> </w:t>
      </w:r>
      <w:r w:rsidRPr="00DE42B5">
        <w:rPr>
          <w:rFonts w:asciiTheme="majorHAnsi" w:hAnsiTheme="majorHAnsi" w:cs="Arial"/>
          <w:sz w:val="22"/>
          <w:szCs w:val="22"/>
        </w:rPr>
        <w:t xml:space="preserve">TEA and TRC is to provide Texas schools and teachers with a science and mathematics professional development program that is coherent, comprehensive, and aligned with the TEKS. Each Regional Collaborative should design an instructional program for Teacher Mentors and Cadre Members that supports this goal. While many Teacher Mentors may attend trainings outside of the TRC that are valuable or required by their employer, these external trainings in general </w:t>
      </w:r>
      <w:r w:rsidRPr="00DE42B5">
        <w:rPr>
          <w:rFonts w:asciiTheme="majorHAnsi" w:hAnsiTheme="majorHAnsi" w:cs="Arial"/>
          <w:b/>
          <w:sz w:val="22"/>
          <w:szCs w:val="22"/>
        </w:rPr>
        <w:t>should not</w:t>
      </w:r>
      <w:r w:rsidRPr="00DE42B5">
        <w:rPr>
          <w:rFonts w:asciiTheme="majorHAnsi" w:hAnsiTheme="majorHAnsi" w:cs="Arial"/>
          <w:sz w:val="22"/>
          <w:szCs w:val="22"/>
        </w:rPr>
        <w:t xml:space="preserve"> be counted as part of the required TRC hours unless the following requirements are met. </w:t>
      </w:r>
    </w:p>
    <w:p w14:paraId="21E6F122" w14:textId="5CD9FBEA" w:rsidR="006C6409" w:rsidRPr="00DE42B5" w:rsidRDefault="00DE42B5" w:rsidP="00E827C3">
      <w:pPr>
        <w:spacing w:after="120"/>
        <w:jc w:val="both"/>
        <w:rPr>
          <w:rFonts w:asciiTheme="majorHAnsi" w:hAnsiTheme="majorHAnsi" w:cs="Arial"/>
          <w:sz w:val="22"/>
          <w:szCs w:val="22"/>
        </w:rPr>
      </w:pPr>
      <w:r>
        <w:rPr>
          <w:rFonts w:asciiTheme="majorHAnsi" w:hAnsiTheme="majorHAnsi" w:cs="Arial"/>
          <w:b/>
          <w:i/>
          <w:sz w:val="22"/>
          <w:szCs w:val="22"/>
        </w:rPr>
        <w:t>EXAMPLE</w:t>
      </w:r>
      <w:r w:rsidR="006C6409" w:rsidRPr="00DE42B5">
        <w:rPr>
          <w:rFonts w:asciiTheme="majorHAnsi" w:hAnsiTheme="majorHAnsi" w:cs="Arial"/>
          <w:i/>
          <w:sz w:val="22"/>
          <w:szCs w:val="22"/>
        </w:rPr>
        <w:t xml:space="preserve">: </w:t>
      </w:r>
      <w:r w:rsidR="006C6409" w:rsidRPr="00DE42B5">
        <w:rPr>
          <w:rFonts w:asciiTheme="majorHAnsi" w:hAnsiTheme="majorHAnsi" w:cs="Arial"/>
          <w:sz w:val="22"/>
          <w:szCs w:val="22"/>
        </w:rPr>
        <w:t xml:space="preserve">It is the end of the year and one of your TRC Mentors, Sally Superstar, still needs 12 hours of TRC training. Her district is sending her and several other teachers to PLC training. She wants to know if she can count these hours as part of her TRC requirements. </w:t>
      </w:r>
      <w:r w:rsidR="006C6409" w:rsidRPr="00DE42B5">
        <w:rPr>
          <w:rFonts w:asciiTheme="majorHAnsi" w:hAnsiTheme="majorHAnsi" w:cs="Arial"/>
          <w:i/>
          <w:sz w:val="22"/>
          <w:szCs w:val="22"/>
        </w:rPr>
        <w:t xml:space="preserve">ANSWER: </w:t>
      </w:r>
      <w:r w:rsidR="006C6409" w:rsidRPr="00DE42B5">
        <w:rPr>
          <w:rFonts w:asciiTheme="majorHAnsi" w:hAnsiTheme="majorHAnsi" w:cs="Arial"/>
          <w:sz w:val="22"/>
          <w:szCs w:val="22"/>
        </w:rPr>
        <w:t>No. If the PLC training was not part of her original TRC Professional Development plan, is not funded by the TRC, and is not offered by the TRC, it cannot count as TRC hours.</w:t>
      </w:r>
    </w:p>
    <w:p w14:paraId="09BA9E39" w14:textId="77777777" w:rsidR="00E827C3" w:rsidRPr="00DE42B5" w:rsidRDefault="00E827C3" w:rsidP="00E827C3">
      <w:pPr>
        <w:spacing w:after="120"/>
        <w:jc w:val="both"/>
        <w:rPr>
          <w:rFonts w:asciiTheme="majorHAnsi" w:hAnsiTheme="majorHAnsi" w:cs="Arial"/>
          <w:color w:val="000000" w:themeColor="text1"/>
          <w:sz w:val="22"/>
          <w:szCs w:val="22"/>
        </w:rPr>
      </w:pPr>
      <w:r w:rsidRPr="00DE42B5">
        <w:rPr>
          <w:rFonts w:asciiTheme="majorHAnsi" w:hAnsiTheme="majorHAnsi" w:cs="Arial"/>
          <w:sz w:val="22"/>
          <w:szCs w:val="22"/>
        </w:rPr>
        <w:t xml:space="preserve">TRC funds must be used to </w:t>
      </w:r>
      <w:r w:rsidRPr="00DE42B5">
        <w:rPr>
          <w:rFonts w:asciiTheme="majorHAnsi" w:hAnsiTheme="majorHAnsi" w:cs="Arial"/>
          <w:i/>
          <w:sz w:val="22"/>
          <w:szCs w:val="22"/>
        </w:rPr>
        <w:t>supplement</w:t>
      </w:r>
      <w:r w:rsidRPr="00DE42B5">
        <w:rPr>
          <w:rFonts w:asciiTheme="majorHAnsi" w:hAnsiTheme="majorHAnsi" w:cs="Arial"/>
          <w:sz w:val="22"/>
          <w:szCs w:val="22"/>
        </w:rPr>
        <w:t xml:space="preserve">, not </w:t>
      </w:r>
      <w:r w:rsidRPr="00DE42B5">
        <w:rPr>
          <w:rFonts w:asciiTheme="majorHAnsi" w:hAnsiTheme="majorHAnsi" w:cs="Arial"/>
          <w:i/>
          <w:sz w:val="22"/>
          <w:szCs w:val="22"/>
        </w:rPr>
        <w:t>supplant</w:t>
      </w:r>
      <w:r w:rsidRPr="00DE42B5">
        <w:rPr>
          <w:rFonts w:asciiTheme="majorHAnsi" w:hAnsiTheme="majorHAnsi" w:cs="Arial"/>
          <w:sz w:val="22"/>
          <w:szCs w:val="22"/>
        </w:rPr>
        <w:t xml:space="preserve">, existing teacher </w:t>
      </w:r>
      <w:r w:rsidRPr="00DE42B5">
        <w:rPr>
          <w:rFonts w:asciiTheme="majorHAnsi" w:hAnsiTheme="majorHAnsi" w:cs="Arial"/>
          <w:color w:val="000000" w:themeColor="text1"/>
          <w:sz w:val="22"/>
          <w:szCs w:val="22"/>
        </w:rPr>
        <w:t xml:space="preserve">training requirements. </w:t>
      </w:r>
      <w:r w:rsidRPr="00DE42B5">
        <w:rPr>
          <w:rFonts w:asciiTheme="majorHAnsi" w:hAnsiTheme="majorHAnsi" w:cs="Arial"/>
          <w:b/>
          <w:color w:val="000000" w:themeColor="text1"/>
          <w:sz w:val="22"/>
          <w:szCs w:val="22"/>
        </w:rPr>
        <w:t>Supplanting</w:t>
      </w:r>
      <w:r w:rsidRPr="00DE42B5">
        <w:rPr>
          <w:rFonts w:asciiTheme="majorHAnsi" w:hAnsiTheme="majorHAnsi" w:cs="Arial"/>
          <w:color w:val="000000" w:themeColor="text1"/>
          <w:sz w:val="22"/>
          <w:szCs w:val="22"/>
        </w:rPr>
        <w:t xml:space="preserve"> has likely occurred if:</w:t>
      </w:r>
    </w:p>
    <w:p w14:paraId="57549C17" w14:textId="77777777" w:rsidR="00E827C3" w:rsidRPr="00DE42B5" w:rsidRDefault="00E827C3" w:rsidP="00E827C3">
      <w:pPr>
        <w:pStyle w:val="ListParagraph"/>
        <w:numPr>
          <w:ilvl w:val="0"/>
          <w:numId w:val="1"/>
        </w:numPr>
        <w:spacing w:after="120"/>
        <w:jc w:val="both"/>
        <w:rPr>
          <w:rFonts w:asciiTheme="majorHAnsi" w:hAnsiTheme="majorHAnsi" w:cs="Arial"/>
          <w:color w:val="000000" w:themeColor="text1"/>
          <w:sz w:val="22"/>
          <w:szCs w:val="22"/>
        </w:rPr>
      </w:pPr>
      <w:r w:rsidRPr="00DE42B5">
        <w:rPr>
          <w:rFonts w:asciiTheme="majorHAnsi" w:hAnsiTheme="majorHAnsi" w:cs="Arial"/>
          <w:color w:val="000000" w:themeColor="text1"/>
          <w:sz w:val="22"/>
          <w:szCs w:val="22"/>
        </w:rPr>
        <w:t>TRC funds are used to provide services that are required to be made available under other federal, state or local laws.</w:t>
      </w:r>
    </w:p>
    <w:p w14:paraId="63F4FEB6" w14:textId="77777777" w:rsidR="00E827C3" w:rsidRPr="00DE42B5" w:rsidRDefault="00E827C3" w:rsidP="00E827C3">
      <w:pPr>
        <w:pStyle w:val="ListParagraph"/>
        <w:numPr>
          <w:ilvl w:val="0"/>
          <w:numId w:val="1"/>
        </w:numPr>
        <w:spacing w:after="120"/>
        <w:jc w:val="both"/>
        <w:rPr>
          <w:rFonts w:asciiTheme="majorHAnsi" w:hAnsiTheme="majorHAnsi" w:cs="Arial"/>
          <w:color w:val="000000" w:themeColor="text1"/>
          <w:sz w:val="22"/>
          <w:szCs w:val="22"/>
        </w:rPr>
      </w:pPr>
      <w:r w:rsidRPr="00DE42B5">
        <w:rPr>
          <w:rFonts w:asciiTheme="majorHAnsi" w:hAnsiTheme="majorHAnsi" w:cs="Arial"/>
          <w:color w:val="000000" w:themeColor="text1"/>
          <w:sz w:val="22"/>
          <w:szCs w:val="22"/>
        </w:rPr>
        <w:t xml:space="preserve">TRC funds are used to provide services that were provided with nonfederal funds in the prior year. Presumptions of supplanting are refutable if projects can demonstrate that services would not have been provided with nonfederal funding had TRC funds not been available.  </w:t>
      </w:r>
    </w:p>
    <w:p w14:paraId="48DC7C96" w14:textId="156F1B3A" w:rsidR="00E827C3" w:rsidRPr="00DE42B5" w:rsidRDefault="00E827C3" w:rsidP="00E827C3">
      <w:pPr>
        <w:pStyle w:val="ListParagraph"/>
        <w:numPr>
          <w:ilvl w:val="0"/>
          <w:numId w:val="1"/>
        </w:numPr>
        <w:spacing w:after="120"/>
        <w:jc w:val="both"/>
        <w:rPr>
          <w:rFonts w:asciiTheme="majorHAnsi" w:hAnsiTheme="majorHAnsi" w:cs="Arial"/>
          <w:color w:val="000000" w:themeColor="text1"/>
          <w:sz w:val="22"/>
          <w:szCs w:val="22"/>
        </w:rPr>
      </w:pPr>
      <w:r w:rsidRPr="00DE42B5">
        <w:rPr>
          <w:rFonts w:asciiTheme="majorHAnsi" w:hAnsiTheme="majorHAnsi" w:cs="Arial"/>
          <w:color w:val="000000" w:themeColor="text1"/>
          <w:sz w:val="22"/>
          <w:szCs w:val="22"/>
        </w:rPr>
        <w:t xml:space="preserve">TRC funds are used to provide services to TRC teachers where the same services are provided using local funds for non-TRC teachers.  For example, if local school districts fund </w:t>
      </w:r>
      <w:r w:rsidR="006C6409" w:rsidRPr="00DE42B5">
        <w:rPr>
          <w:rFonts w:asciiTheme="majorHAnsi" w:hAnsiTheme="majorHAnsi" w:cs="Arial"/>
          <w:color w:val="000000" w:themeColor="text1"/>
          <w:sz w:val="22"/>
          <w:szCs w:val="22"/>
        </w:rPr>
        <w:t>AVID</w:t>
      </w:r>
      <w:r w:rsidRPr="00DE42B5">
        <w:rPr>
          <w:rFonts w:asciiTheme="majorHAnsi" w:hAnsiTheme="majorHAnsi" w:cs="Arial"/>
          <w:color w:val="000000" w:themeColor="text1"/>
          <w:sz w:val="22"/>
          <w:szCs w:val="22"/>
        </w:rPr>
        <w:t xml:space="preserve"> training for teachers, TRC funding cannot supplant local funding specifically for TRC teachers.</w:t>
      </w:r>
    </w:p>
    <w:p w14:paraId="6274477A" w14:textId="77777777" w:rsidR="006C6409" w:rsidRPr="00DE42B5" w:rsidRDefault="006C6409" w:rsidP="00E827C3">
      <w:pPr>
        <w:pStyle w:val="Subtitle"/>
        <w:spacing w:after="120"/>
        <w:ind w:left="0" w:right="0"/>
        <w:jc w:val="both"/>
        <w:rPr>
          <w:rStyle w:val="Strong"/>
          <w:rFonts w:asciiTheme="majorHAnsi" w:hAnsiTheme="majorHAnsi" w:cs="Arial"/>
          <w:i/>
          <w:smallCaps w:val="0"/>
          <w:color w:val="000000" w:themeColor="text1"/>
          <w:sz w:val="22"/>
          <w:szCs w:val="22"/>
        </w:rPr>
      </w:pPr>
    </w:p>
    <w:p w14:paraId="4DA4529E" w14:textId="77777777" w:rsidR="00E827C3" w:rsidRPr="00DE42B5" w:rsidRDefault="00E827C3" w:rsidP="00E827C3">
      <w:pPr>
        <w:pStyle w:val="Subtitle"/>
        <w:spacing w:after="120"/>
        <w:ind w:left="0" w:right="0"/>
        <w:jc w:val="both"/>
        <w:rPr>
          <w:rStyle w:val="Strong"/>
          <w:rFonts w:asciiTheme="minorHAnsi" w:hAnsiTheme="minorHAnsi" w:cs="Arial"/>
          <w:b/>
          <w:bCs w:val="0"/>
          <w:iCs/>
          <w:smallCaps w:val="0"/>
          <w:color w:val="000000" w:themeColor="text1"/>
          <w:sz w:val="22"/>
          <w:szCs w:val="22"/>
          <w:u w:val="single"/>
        </w:rPr>
      </w:pPr>
      <w:r w:rsidRPr="00DE42B5">
        <w:rPr>
          <w:rStyle w:val="Strong"/>
          <w:rFonts w:asciiTheme="minorHAnsi" w:hAnsiTheme="minorHAnsi" w:cs="Arial"/>
          <w:b/>
          <w:smallCaps w:val="0"/>
          <w:color w:val="000000" w:themeColor="text1"/>
          <w:sz w:val="22"/>
          <w:szCs w:val="22"/>
          <w:u w:val="single"/>
        </w:rPr>
        <w:t>Accounting for TRC Contact Hours</w:t>
      </w:r>
    </w:p>
    <w:p w14:paraId="34026638" w14:textId="77777777" w:rsidR="00E827C3" w:rsidRPr="00DE42B5" w:rsidRDefault="00E827C3" w:rsidP="00E827C3">
      <w:pPr>
        <w:spacing w:after="120"/>
        <w:jc w:val="both"/>
        <w:rPr>
          <w:rFonts w:asciiTheme="majorHAnsi" w:hAnsiTheme="majorHAnsi" w:cs="Arial"/>
          <w:sz w:val="22"/>
          <w:szCs w:val="22"/>
        </w:rPr>
      </w:pPr>
      <w:r w:rsidRPr="00DE42B5">
        <w:rPr>
          <w:rFonts w:asciiTheme="majorHAnsi" w:hAnsiTheme="majorHAnsi" w:cs="Arial"/>
          <w:sz w:val="22"/>
          <w:szCs w:val="22"/>
        </w:rPr>
        <w:t xml:space="preserve">The following two criteria should be used to determine whether participation in non-TRC sponsored professional development can be counted toward required TRC contact hours: </w:t>
      </w:r>
    </w:p>
    <w:p w14:paraId="5B183E9F" w14:textId="77777777" w:rsidR="00E827C3" w:rsidRPr="00DE42B5" w:rsidRDefault="00E827C3" w:rsidP="00E827C3">
      <w:pPr>
        <w:pStyle w:val="ColorfulList-Accent11"/>
        <w:numPr>
          <w:ilvl w:val="0"/>
          <w:numId w:val="2"/>
        </w:numPr>
        <w:spacing w:after="120" w:line="240" w:lineRule="auto"/>
        <w:contextualSpacing w:val="0"/>
        <w:jc w:val="both"/>
        <w:rPr>
          <w:rFonts w:cs="Arial"/>
          <w:b/>
        </w:rPr>
      </w:pPr>
      <w:r w:rsidRPr="00DE42B5">
        <w:rPr>
          <w:rFonts w:cs="Arial"/>
          <w:b/>
          <w:i/>
        </w:rPr>
        <w:t>Is the professional development aligned with the specific goals and objectives for teachers as outlined in your Project’s Regional Collaborative application?</w:t>
      </w:r>
    </w:p>
    <w:p w14:paraId="4C273027" w14:textId="77777777" w:rsidR="00E827C3" w:rsidRPr="00DE42B5" w:rsidRDefault="00E827C3" w:rsidP="00E827C3">
      <w:pPr>
        <w:pStyle w:val="ColorfulList-Accent11"/>
        <w:spacing w:after="120" w:line="240" w:lineRule="auto"/>
        <w:ind w:left="0"/>
        <w:contextualSpacing w:val="0"/>
        <w:jc w:val="both"/>
        <w:rPr>
          <w:rFonts w:cs="Arial"/>
        </w:rPr>
      </w:pPr>
      <w:r w:rsidRPr="00DE42B5">
        <w:rPr>
          <w:rFonts w:cs="Arial"/>
        </w:rPr>
        <w:t>While the TRC structure supports a degree of customization for individual Teacher Mentors, such customization should be part of an overall professional development plan for the teacher rather than addressed on an ad hoc or after-the-fact basis. Teacher Mentors should not expect to count training they are required to attend by their district if that training is not integrating TRC supported professional development. For example, teachers may be required to attend AP Strategies training by their district but counting this as TRC hours would not be appropriate unless a) the attending teacher subsequently provided turnaround training for other Teacher Mentors as part of the overall TRC program, or b) specific PD related to AP teacher preparation was addressed as a goal in the application and such training was outlined in the timeline.</w:t>
      </w:r>
    </w:p>
    <w:p w14:paraId="166F3292" w14:textId="77777777" w:rsidR="00E827C3" w:rsidRPr="00DE42B5" w:rsidRDefault="00E827C3" w:rsidP="00E827C3">
      <w:pPr>
        <w:pStyle w:val="ColorfulList-Accent11"/>
        <w:spacing w:after="120" w:line="240" w:lineRule="auto"/>
        <w:ind w:left="0"/>
        <w:contextualSpacing w:val="0"/>
        <w:jc w:val="both"/>
        <w:rPr>
          <w:rFonts w:cs="Arial"/>
        </w:rPr>
      </w:pPr>
      <w:r w:rsidRPr="00DE42B5">
        <w:rPr>
          <w:rFonts w:cs="Arial"/>
        </w:rPr>
        <w:t xml:space="preserve">Teachers who attend professional development outside of that described in the application’s original instructional plan or beyond what your teacher participants normally receive as a part of the Collaborative must subsequently turn the training around to other TRC teachers for this to count as legitimate TRC hours. For example, if TRC teachers attend Project Wild facilitator training on their own, the training may only count as part of the teacher’s TRC professional development hours if they then train other TRC teachers on Project Wild. </w:t>
      </w:r>
    </w:p>
    <w:p w14:paraId="42F3BBD1" w14:textId="77777777" w:rsidR="00E827C3" w:rsidRPr="00DE42B5" w:rsidRDefault="00E827C3" w:rsidP="00E827C3">
      <w:pPr>
        <w:pStyle w:val="ColorfulList-Accent11"/>
        <w:numPr>
          <w:ilvl w:val="0"/>
          <w:numId w:val="3"/>
        </w:numPr>
        <w:spacing w:after="120" w:line="240" w:lineRule="auto"/>
        <w:jc w:val="both"/>
        <w:rPr>
          <w:rFonts w:cs="Arial"/>
          <w:b/>
          <w:i/>
        </w:rPr>
      </w:pPr>
      <w:r w:rsidRPr="00DE42B5">
        <w:rPr>
          <w:rFonts w:cs="Arial"/>
          <w:b/>
          <w:i/>
        </w:rPr>
        <w:t xml:space="preserve">Have TRC funds been utilized to support the professional development? </w:t>
      </w:r>
    </w:p>
    <w:p w14:paraId="1B792449" w14:textId="77777777" w:rsidR="00E827C3" w:rsidRPr="00DE42B5" w:rsidRDefault="00E827C3" w:rsidP="00E827C3">
      <w:pPr>
        <w:spacing w:after="120"/>
        <w:contextualSpacing/>
        <w:jc w:val="both"/>
        <w:rPr>
          <w:rFonts w:asciiTheme="majorHAnsi" w:hAnsiTheme="majorHAnsi" w:cs="Arial"/>
          <w:sz w:val="22"/>
          <w:szCs w:val="22"/>
        </w:rPr>
      </w:pPr>
      <w:r w:rsidRPr="00DE42B5">
        <w:rPr>
          <w:rFonts w:asciiTheme="majorHAnsi" w:hAnsiTheme="majorHAnsi" w:cs="Arial"/>
          <w:sz w:val="22"/>
          <w:szCs w:val="22"/>
        </w:rPr>
        <w:t xml:space="preserve">The second criterion for counting TRC contact hours for a workshop relates to leveraging of funding.  TRC funds must be leveraged for training to be reported as TRC contact hours.  This will apply to counting TEA modules as TRC contact hours given that ESCs have already received state funding to provide professional development for these modules.  The various modules that are supported by TEA, including TEKS Overview training, MSTAR Mathematics Academies, and End-of-Course Success Academies, can play an integral role in the overall TRC program of long-term, sustained professional development for math and/or science teachers provided that TRC teachers receive additional training and/or materials that go beyond what the standard training would provide to non-TRC teachers. </w:t>
      </w:r>
    </w:p>
    <w:p w14:paraId="1171B274" w14:textId="77777777" w:rsidR="00E827C3" w:rsidRPr="00DE42B5" w:rsidRDefault="00E827C3" w:rsidP="00E827C3">
      <w:pPr>
        <w:pStyle w:val="ColorfulList-Accent11"/>
        <w:spacing w:after="120" w:line="240" w:lineRule="auto"/>
        <w:ind w:left="0"/>
        <w:jc w:val="both"/>
        <w:rPr>
          <w:rFonts w:cs="Arial"/>
        </w:rPr>
      </w:pPr>
      <w:r w:rsidRPr="00DE42B5">
        <w:rPr>
          <w:rFonts w:cs="Arial"/>
        </w:rPr>
        <w:t xml:space="preserve">If TRC teachers count attendance for a TEA module (e.g., MSTAR Academies, or EOC trainings), TRC funding must be leveraged to provide “added value” to the basic module.  For instance, TEA funding does not cover the cost of the NCTM Curriculum Focal Points book upon which MSTAR training is based.  If a TRC project uses TRC funding to purchase additional books for TRC teachers who attend the training </w:t>
      </w:r>
      <w:r w:rsidRPr="00DE42B5">
        <w:rPr>
          <w:rFonts w:cs="Arial"/>
          <w:u w:val="single"/>
        </w:rPr>
        <w:t>and</w:t>
      </w:r>
      <w:r w:rsidRPr="00DE42B5">
        <w:rPr>
          <w:rFonts w:cs="Arial"/>
        </w:rPr>
        <w:t xml:space="preserve"> they are used as an integral part of the training, then they can count these hours as part of their TRC project.</w:t>
      </w:r>
    </w:p>
    <w:p w14:paraId="51D7CCE1" w14:textId="77777777" w:rsidR="00E827C3" w:rsidRPr="00DE42B5" w:rsidRDefault="00E827C3" w:rsidP="00E827C3">
      <w:pPr>
        <w:pStyle w:val="Subtitle"/>
        <w:spacing w:after="120"/>
        <w:ind w:left="0" w:right="0"/>
        <w:jc w:val="both"/>
        <w:rPr>
          <w:rStyle w:val="Strong"/>
          <w:rFonts w:asciiTheme="minorHAnsi" w:hAnsiTheme="minorHAnsi" w:cs="Arial"/>
          <w:b/>
          <w:bCs w:val="0"/>
          <w:smallCaps w:val="0"/>
          <w:sz w:val="22"/>
          <w:szCs w:val="22"/>
          <w:u w:val="single"/>
        </w:rPr>
      </w:pPr>
      <w:r w:rsidRPr="00DE42B5">
        <w:rPr>
          <w:rStyle w:val="Strong"/>
          <w:rFonts w:asciiTheme="minorHAnsi" w:hAnsiTheme="minorHAnsi" w:cs="Arial"/>
          <w:b/>
          <w:smallCaps w:val="0"/>
          <w:sz w:val="22"/>
          <w:szCs w:val="22"/>
          <w:u w:val="single"/>
        </w:rPr>
        <w:t>Teacher Mentor Personal Professional Development Plans</w:t>
      </w:r>
    </w:p>
    <w:p w14:paraId="5EDBAB2E" w14:textId="77777777" w:rsidR="00E827C3" w:rsidRPr="00DE42B5" w:rsidRDefault="00E827C3" w:rsidP="00E827C3">
      <w:pPr>
        <w:spacing w:after="120"/>
        <w:jc w:val="both"/>
        <w:rPr>
          <w:rFonts w:asciiTheme="majorHAnsi" w:hAnsiTheme="majorHAnsi" w:cs="Arial"/>
          <w:sz w:val="22"/>
          <w:szCs w:val="22"/>
        </w:rPr>
      </w:pPr>
      <w:r w:rsidRPr="00DE42B5">
        <w:rPr>
          <w:rFonts w:asciiTheme="majorHAnsi" w:hAnsiTheme="majorHAnsi" w:cs="Arial"/>
          <w:sz w:val="22"/>
          <w:szCs w:val="22"/>
        </w:rPr>
        <w:t xml:space="preserve">Teacher Mentors and school districts often ask Project Directors if non-TRC training may count as TRC hours. To avoid this controversy, each Regional Collaborative is strongly encouraged to require teachers at the beginning of the grant period to outline a plan for completing the 100 required contact hours of professional development. Significant components of this plan should include the required professional development specified for all Teacher Mentors. If Teacher Mentors are allowed to choose from a predefined list of additional professional development experiences to round out their program, they should be provided this information at the beginning of the grant and establish a personal professional development plan that commits them to specific PD on specific dates. Requiring each Teacher Mentor to submit a personal professional development plan builds their own professionalism, avoids last minute requests from teachers to include random PD as part of their TRC hours, and assists the Project Director with grant management. </w:t>
      </w:r>
    </w:p>
    <w:p w14:paraId="5D7F14D8" w14:textId="77777777" w:rsidR="00F33D1C" w:rsidRPr="00DE42B5" w:rsidRDefault="00F33D1C" w:rsidP="0051609C">
      <w:pPr>
        <w:pStyle w:val="BodyText"/>
        <w:spacing w:after="0"/>
        <w:rPr>
          <w:rFonts w:asciiTheme="majorHAnsi" w:hAnsiTheme="majorHAnsi"/>
          <w:sz w:val="22"/>
          <w:szCs w:val="22"/>
        </w:rPr>
      </w:pPr>
      <w:bookmarkStart w:id="0" w:name="_GoBack"/>
      <w:bookmarkEnd w:id="0"/>
    </w:p>
    <w:sectPr w:rsidR="00F33D1C" w:rsidRPr="00DE42B5" w:rsidSect="00AC4042">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FCB6A" w14:textId="77777777" w:rsidR="00DE42B5" w:rsidRDefault="00DE42B5" w:rsidP="00DE42B5">
      <w:r>
        <w:separator/>
      </w:r>
    </w:p>
  </w:endnote>
  <w:endnote w:type="continuationSeparator" w:id="0">
    <w:p w14:paraId="42277790" w14:textId="77777777" w:rsidR="00DE42B5" w:rsidRDefault="00DE42B5" w:rsidP="00DE4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FD9DA4" w14:textId="0F550340" w:rsidR="00DE42B5" w:rsidRPr="00DE42B5" w:rsidRDefault="00DE42B5">
    <w:pPr>
      <w:pStyle w:val="Footer"/>
      <w:rPr>
        <w:i/>
        <w:sz w:val="18"/>
        <w:szCs w:val="18"/>
      </w:rPr>
    </w:pPr>
    <w:r w:rsidRPr="00DE42B5">
      <w:rPr>
        <w:i/>
        <w:sz w:val="18"/>
        <w:szCs w:val="18"/>
      </w:rPr>
      <w:t>Updated 3/31/14</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FBA31" w14:textId="77777777" w:rsidR="00DE42B5" w:rsidRDefault="00DE42B5" w:rsidP="00DE42B5">
      <w:r>
        <w:separator/>
      </w:r>
    </w:p>
  </w:footnote>
  <w:footnote w:type="continuationSeparator" w:id="0">
    <w:p w14:paraId="0D5FC08E" w14:textId="77777777" w:rsidR="00DE42B5" w:rsidRDefault="00DE42B5" w:rsidP="00DE42B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51BF1" w14:textId="4D5EB548" w:rsidR="00DE42B5" w:rsidRDefault="00DE42B5" w:rsidP="00DE42B5">
    <w:pPr>
      <w:pStyle w:val="Header"/>
      <w:jc w:val="center"/>
    </w:pPr>
    <w:r>
      <w:rPr>
        <w:noProof/>
      </w:rPr>
      <w:drawing>
        <wp:inline distT="0" distB="0" distL="0" distR="0" wp14:anchorId="455D6ED0" wp14:editId="4AEF44FA">
          <wp:extent cx="2743200" cy="1079818"/>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c_wordmark.jpg"/>
                  <pic:cNvPicPr/>
                </pic:nvPicPr>
                <pic:blipFill>
                  <a:blip r:embed="rId1">
                    <a:extLst>
                      <a:ext uri="{28A0092B-C50C-407E-A947-70E740481C1C}">
                        <a14:useLocalDpi xmlns:a14="http://schemas.microsoft.com/office/drawing/2010/main" val="0"/>
                      </a:ext>
                    </a:extLst>
                  </a:blip>
                  <a:stretch>
                    <a:fillRect/>
                  </a:stretch>
                </pic:blipFill>
                <pic:spPr>
                  <a:xfrm>
                    <a:off x="0" y="0"/>
                    <a:ext cx="2744468" cy="1080317"/>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66112"/>
    <w:multiLevelType w:val="hybridMultilevel"/>
    <w:tmpl w:val="62FCDA70"/>
    <w:lvl w:ilvl="0" w:tplc="96F6CDFA">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77DB3"/>
    <w:multiLevelType w:val="hybridMultilevel"/>
    <w:tmpl w:val="09AC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1A5400"/>
    <w:multiLevelType w:val="hybridMultilevel"/>
    <w:tmpl w:val="9092B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D2C57"/>
    <w:multiLevelType w:val="hybridMultilevel"/>
    <w:tmpl w:val="79BC9D80"/>
    <w:lvl w:ilvl="0" w:tplc="2EB2A88E">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1C0ADC"/>
    <w:multiLevelType w:val="hybridMultilevel"/>
    <w:tmpl w:val="76D2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4E4C2F"/>
    <w:multiLevelType w:val="hybridMultilevel"/>
    <w:tmpl w:val="DF0A19B4"/>
    <w:lvl w:ilvl="0" w:tplc="72E40868">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F12CD1"/>
    <w:multiLevelType w:val="hybridMultilevel"/>
    <w:tmpl w:val="1022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7C3"/>
    <w:rsid w:val="00042C34"/>
    <w:rsid w:val="00083623"/>
    <w:rsid w:val="001B75BF"/>
    <w:rsid w:val="00266401"/>
    <w:rsid w:val="002E3254"/>
    <w:rsid w:val="003E3775"/>
    <w:rsid w:val="003F6806"/>
    <w:rsid w:val="00420039"/>
    <w:rsid w:val="00457E6A"/>
    <w:rsid w:val="00477EF7"/>
    <w:rsid w:val="004D7944"/>
    <w:rsid w:val="004F2695"/>
    <w:rsid w:val="0051609C"/>
    <w:rsid w:val="006C6409"/>
    <w:rsid w:val="00715D48"/>
    <w:rsid w:val="007D2EDE"/>
    <w:rsid w:val="007D4EFE"/>
    <w:rsid w:val="00834430"/>
    <w:rsid w:val="008E0394"/>
    <w:rsid w:val="00973C3D"/>
    <w:rsid w:val="009C22D2"/>
    <w:rsid w:val="009C2FE2"/>
    <w:rsid w:val="00A40F74"/>
    <w:rsid w:val="00AB6B9B"/>
    <w:rsid w:val="00AC4042"/>
    <w:rsid w:val="00C1178F"/>
    <w:rsid w:val="00C802AA"/>
    <w:rsid w:val="00D50E4E"/>
    <w:rsid w:val="00DE42B5"/>
    <w:rsid w:val="00E718F1"/>
    <w:rsid w:val="00E827C3"/>
    <w:rsid w:val="00E96E43"/>
    <w:rsid w:val="00F322C6"/>
    <w:rsid w:val="00F33D1C"/>
    <w:rsid w:val="00F6449E"/>
    <w:rsid w:val="00FD0BC9"/>
    <w:rsid w:val="00FD6924"/>
    <w:rsid w:val="00FF03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DC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kh"/>
    <w:qFormat/>
    <w:rsid w:val="00E827C3"/>
    <w:pPr>
      <w:spacing w:after="0"/>
    </w:pPr>
    <w:rPr>
      <w:rFonts w:ascii="Cambria" w:eastAsia="Cambria" w:hAnsi="Cambria" w:cs="Times New Roman"/>
      <w:lang w:eastAsia="en-US"/>
    </w:rPr>
  </w:style>
  <w:style w:type="paragraph" w:styleId="Heading1">
    <w:name w:val="heading 1"/>
    <w:basedOn w:val="Normal"/>
    <w:next w:val="Normal"/>
    <w:link w:val="Heading1Char"/>
    <w:uiPriority w:val="9"/>
    <w:qFormat/>
    <w:rsid w:val="00DE42B5"/>
    <w:pPr>
      <w:spacing w:before="480" w:line="276" w:lineRule="auto"/>
      <w:contextualSpacing/>
      <w:outlineLvl w:val="0"/>
    </w:pPr>
    <w:rPr>
      <w:rFonts w:asciiTheme="majorHAnsi" w:eastAsiaTheme="majorEastAsia" w:hAnsiTheme="majorHAnsi" w:cstheme="majorBidi"/>
      <w:smallCaps/>
      <w:spacing w:val="5"/>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15D48"/>
    <w:pPr>
      <w:spacing w:after="120"/>
    </w:pPr>
  </w:style>
  <w:style w:type="character" w:customStyle="1" w:styleId="BodyTextChar">
    <w:name w:val="Body Text Char"/>
    <w:basedOn w:val="DefaultParagraphFont"/>
    <w:link w:val="BodyText"/>
    <w:uiPriority w:val="99"/>
    <w:semiHidden/>
    <w:rsid w:val="00715D48"/>
    <w:rPr>
      <w:rFonts w:ascii="Times New Roman" w:hAnsi="Times New Roman"/>
    </w:rPr>
  </w:style>
  <w:style w:type="paragraph" w:styleId="Subtitle">
    <w:name w:val="Subtitle"/>
    <w:basedOn w:val="Normal"/>
    <w:link w:val="SubtitleChar"/>
    <w:uiPriority w:val="11"/>
    <w:qFormat/>
    <w:rsid w:val="00E827C3"/>
    <w:pPr>
      <w:ind w:left="-180" w:right="-216"/>
    </w:pPr>
    <w:rPr>
      <w:rFonts w:ascii="Times" w:eastAsia="Times" w:hAnsi="Times"/>
      <w:b/>
      <w:smallCaps/>
      <w:sz w:val="30"/>
      <w:szCs w:val="20"/>
    </w:rPr>
  </w:style>
  <w:style w:type="character" w:customStyle="1" w:styleId="SubtitleChar">
    <w:name w:val="Subtitle Char"/>
    <w:basedOn w:val="DefaultParagraphFont"/>
    <w:link w:val="Subtitle"/>
    <w:uiPriority w:val="11"/>
    <w:rsid w:val="00E827C3"/>
    <w:rPr>
      <w:rFonts w:ascii="Times" w:eastAsia="Times" w:hAnsi="Times" w:cs="Times New Roman"/>
      <w:b/>
      <w:smallCaps/>
      <w:sz w:val="30"/>
      <w:szCs w:val="20"/>
      <w:lang w:eastAsia="en-US"/>
    </w:rPr>
  </w:style>
  <w:style w:type="paragraph" w:styleId="ListParagraph">
    <w:name w:val="List Paragraph"/>
    <w:basedOn w:val="Normal"/>
    <w:uiPriority w:val="34"/>
    <w:qFormat/>
    <w:rsid w:val="00E827C3"/>
    <w:pPr>
      <w:spacing w:after="200"/>
      <w:ind w:left="720"/>
      <w:contextualSpacing/>
    </w:pPr>
  </w:style>
  <w:style w:type="paragraph" w:customStyle="1" w:styleId="ColorfulList-Accent11">
    <w:name w:val="Colorful List - Accent 11"/>
    <w:basedOn w:val="Normal"/>
    <w:uiPriority w:val="34"/>
    <w:qFormat/>
    <w:rsid w:val="00E827C3"/>
    <w:pPr>
      <w:spacing w:after="200" w:line="276" w:lineRule="auto"/>
      <w:ind w:left="720"/>
      <w:contextualSpacing/>
    </w:pPr>
    <w:rPr>
      <w:rFonts w:asciiTheme="majorHAnsi" w:eastAsiaTheme="majorEastAsia" w:hAnsiTheme="majorHAnsi" w:cstheme="majorBidi"/>
      <w:sz w:val="22"/>
      <w:szCs w:val="22"/>
      <w:lang w:bidi="en-US"/>
    </w:rPr>
  </w:style>
  <w:style w:type="character" w:styleId="Strong">
    <w:name w:val="Strong"/>
    <w:uiPriority w:val="22"/>
    <w:qFormat/>
    <w:rsid w:val="00E827C3"/>
    <w:rPr>
      <w:b/>
      <w:bCs/>
    </w:rPr>
  </w:style>
  <w:style w:type="character" w:customStyle="1" w:styleId="Heading1Char">
    <w:name w:val="Heading 1 Char"/>
    <w:basedOn w:val="DefaultParagraphFont"/>
    <w:link w:val="Heading1"/>
    <w:uiPriority w:val="9"/>
    <w:rsid w:val="00DE42B5"/>
    <w:rPr>
      <w:rFonts w:asciiTheme="majorHAnsi" w:eastAsiaTheme="majorEastAsia" w:hAnsiTheme="majorHAnsi" w:cstheme="majorBidi"/>
      <w:smallCaps/>
      <w:spacing w:val="5"/>
      <w:sz w:val="36"/>
      <w:szCs w:val="36"/>
      <w:lang w:eastAsia="en-US" w:bidi="en-US"/>
    </w:rPr>
  </w:style>
  <w:style w:type="paragraph" w:styleId="Header">
    <w:name w:val="header"/>
    <w:basedOn w:val="Normal"/>
    <w:link w:val="HeaderChar"/>
    <w:uiPriority w:val="99"/>
    <w:unhideWhenUsed/>
    <w:rsid w:val="00DE42B5"/>
    <w:pPr>
      <w:tabs>
        <w:tab w:val="center" w:pos="4320"/>
        <w:tab w:val="right" w:pos="8640"/>
      </w:tabs>
    </w:pPr>
  </w:style>
  <w:style w:type="character" w:customStyle="1" w:styleId="HeaderChar">
    <w:name w:val="Header Char"/>
    <w:basedOn w:val="DefaultParagraphFont"/>
    <w:link w:val="Header"/>
    <w:uiPriority w:val="99"/>
    <w:rsid w:val="00DE42B5"/>
    <w:rPr>
      <w:rFonts w:ascii="Cambria" w:eastAsia="Cambria" w:hAnsi="Cambria" w:cs="Times New Roman"/>
      <w:lang w:eastAsia="en-US"/>
    </w:rPr>
  </w:style>
  <w:style w:type="paragraph" w:styleId="Footer">
    <w:name w:val="footer"/>
    <w:basedOn w:val="Normal"/>
    <w:link w:val="FooterChar"/>
    <w:uiPriority w:val="99"/>
    <w:unhideWhenUsed/>
    <w:rsid w:val="00DE42B5"/>
    <w:pPr>
      <w:tabs>
        <w:tab w:val="center" w:pos="4320"/>
        <w:tab w:val="right" w:pos="8640"/>
      </w:tabs>
    </w:pPr>
  </w:style>
  <w:style w:type="character" w:customStyle="1" w:styleId="FooterChar">
    <w:name w:val="Footer Char"/>
    <w:basedOn w:val="DefaultParagraphFont"/>
    <w:link w:val="Footer"/>
    <w:uiPriority w:val="99"/>
    <w:rsid w:val="00DE42B5"/>
    <w:rPr>
      <w:rFonts w:ascii="Cambria" w:eastAsia="Cambria" w:hAnsi="Cambria" w:cs="Times New Roman"/>
      <w:lang w:eastAsia="en-US"/>
    </w:rPr>
  </w:style>
  <w:style w:type="paragraph" w:styleId="BalloonText">
    <w:name w:val="Balloon Text"/>
    <w:basedOn w:val="Normal"/>
    <w:link w:val="BalloonTextChar"/>
    <w:uiPriority w:val="99"/>
    <w:semiHidden/>
    <w:unhideWhenUsed/>
    <w:rsid w:val="00DE4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2B5"/>
    <w:rPr>
      <w:rFonts w:ascii="Lucida Grande" w:eastAsia="Cambria"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kh"/>
    <w:qFormat/>
    <w:rsid w:val="00E827C3"/>
    <w:pPr>
      <w:spacing w:after="0"/>
    </w:pPr>
    <w:rPr>
      <w:rFonts w:ascii="Cambria" w:eastAsia="Cambria" w:hAnsi="Cambria" w:cs="Times New Roman"/>
      <w:lang w:eastAsia="en-US"/>
    </w:rPr>
  </w:style>
  <w:style w:type="paragraph" w:styleId="Heading1">
    <w:name w:val="heading 1"/>
    <w:basedOn w:val="Normal"/>
    <w:next w:val="Normal"/>
    <w:link w:val="Heading1Char"/>
    <w:uiPriority w:val="9"/>
    <w:qFormat/>
    <w:rsid w:val="00DE42B5"/>
    <w:pPr>
      <w:spacing w:before="480" w:line="276" w:lineRule="auto"/>
      <w:contextualSpacing/>
      <w:outlineLvl w:val="0"/>
    </w:pPr>
    <w:rPr>
      <w:rFonts w:asciiTheme="majorHAnsi" w:eastAsiaTheme="majorEastAsia" w:hAnsiTheme="majorHAnsi" w:cstheme="majorBidi"/>
      <w:smallCaps/>
      <w:spacing w:val="5"/>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715D48"/>
    <w:pPr>
      <w:spacing w:after="120"/>
    </w:pPr>
  </w:style>
  <w:style w:type="character" w:customStyle="1" w:styleId="BodyTextChar">
    <w:name w:val="Body Text Char"/>
    <w:basedOn w:val="DefaultParagraphFont"/>
    <w:link w:val="BodyText"/>
    <w:uiPriority w:val="99"/>
    <w:semiHidden/>
    <w:rsid w:val="00715D48"/>
    <w:rPr>
      <w:rFonts w:ascii="Times New Roman" w:hAnsi="Times New Roman"/>
    </w:rPr>
  </w:style>
  <w:style w:type="paragraph" w:styleId="Subtitle">
    <w:name w:val="Subtitle"/>
    <w:basedOn w:val="Normal"/>
    <w:link w:val="SubtitleChar"/>
    <w:uiPriority w:val="11"/>
    <w:qFormat/>
    <w:rsid w:val="00E827C3"/>
    <w:pPr>
      <w:ind w:left="-180" w:right="-216"/>
    </w:pPr>
    <w:rPr>
      <w:rFonts w:ascii="Times" w:eastAsia="Times" w:hAnsi="Times"/>
      <w:b/>
      <w:smallCaps/>
      <w:sz w:val="30"/>
      <w:szCs w:val="20"/>
    </w:rPr>
  </w:style>
  <w:style w:type="character" w:customStyle="1" w:styleId="SubtitleChar">
    <w:name w:val="Subtitle Char"/>
    <w:basedOn w:val="DefaultParagraphFont"/>
    <w:link w:val="Subtitle"/>
    <w:uiPriority w:val="11"/>
    <w:rsid w:val="00E827C3"/>
    <w:rPr>
      <w:rFonts w:ascii="Times" w:eastAsia="Times" w:hAnsi="Times" w:cs="Times New Roman"/>
      <w:b/>
      <w:smallCaps/>
      <w:sz w:val="30"/>
      <w:szCs w:val="20"/>
      <w:lang w:eastAsia="en-US"/>
    </w:rPr>
  </w:style>
  <w:style w:type="paragraph" w:styleId="ListParagraph">
    <w:name w:val="List Paragraph"/>
    <w:basedOn w:val="Normal"/>
    <w:uiPriority w:val="34"/>
    <w:qFormat/>
    <w:rsid w:val="00E827C3"/>
    <w:pPr>
      <w:spacing w:after="200"/>
      <w:ind w:left="720"/>
      <w:contextualSpacing/>
    </w:pPr>
  </w:style>
  <w:style w:type="paragraph" w:customStyle="1" w:styleId="ColorfulList-Accent11">
    <w:name w:val="Colorful List - Accent 11"/>
    <w:basedOn w:val="Normal"/>
    <w:uiPriority w:val="34"/>
    <w:qFormat/>
    <w:rsid w:val="00E827C3"/>
    <w:pPr>
      <w:spacing w:after="200" w:line="276" w:lineRule="auto"/>
      <w:ind w:left="720"/>
      <w:contextualSpacing/>
    </w:pPr>
    <w:rPr>
      <w:rFonts w:asciiTheme="majorHAnsi" w:eastAsiaTheme="majorEastAsia" w:hAnsiTheme="majorHAnsi" w:cstheme="majorBidi"/>
      <w:sz w:val="22"/>
      <w:szCs w:val="22"/>
      <w:lang w:bidi="en-US"/>
    </w:rPr>
  </w:style>
  <w:style w:type="character" w:styleId="Strong">
    <w:name w:val="Strong"/>
    <w:uiPriority w:val="22"/>
    <w:qFormat/>
    <w:rsid w:val="00E827C3"/>
    <w:rPr>
      <w:b/>
      <w:bCs/>
    </w:rPr>
  </w:style>
  <w:style w:type="character" w:customStyle="1" w:styleId="Heading1Char">
    <w:name w:val="Heading 1 Char"/>
    <w:basedOn w:val="DefaultParagraphFont"/>
    <w:link w:val="Heading1"/>
    <w:uiPriority w:val="9"/>
    <w:rsid w:val="00DE42B5"/>
    <w:rPr>
      <w:rFonts w:asciiTheme="majorHAnsi" w:eastAsiaTheme="majorEastAsia" w:hAnsiTheme="majorHAnsi" w:cstheme="majorBidi"/>
      <w:smallCaps/>
      <w:spacing w:val="5"/>
      <w:sz w:val="36"/>
      <w:szCs w:val="36"/>
      <w:lang w:eastAsia="en-US" w:bidi="en-US"/>
    </w:rPr>
  </w:style>
  <w:style w:type="paragraph" w:styleId="Header">
    <w:name w:val="header"/>
    <w:basedOn w:val="Normal"/>
    <w:link w:val="HeaderChar"/>
    <w:uiPriority w:val="99"/>
    <w:unhideWhenUsed/>
    <w:rsid w:val="00DE42B5"/>
    <w:pPr>
      <w:tabs>
        <w:tab w:val="center" w:pos="4320"/>
        <w:tab w:val="right" w:pos="8640"/>
      </w:tabs>
    </w:pPr>
  </w:style>
  <w:style w:type="character" w:customStyle="1" w:styleId="HeaderChar">
    <w:name w:val="Header Char"/>
    <w:basedOn w:val="DefaultParagraphFont"/>
    <w:link w:val="Header"/>
    <w:uiPriority w:val="99"/>
    <w:rsid w:val="00DE42B5"/>
    <w:rPr>
      <w:rFonts w:ascii="Cambria" w:eastAsia="Cambria" w:hAnsi="Cambria" w:cs="Times New Roman"/>
      <w:lang w:eastAsia="en-US"/>
    </w:rPr>
  </w:style>
  <w:style w:type="paragraph" w:styleId="Footer">
    <w:name w:val="footer"/>
    <w:basedOn w:val="Normal"/>
    <w:link w:val="FooterChar"/>
    <w:uiPriority w:val="99"/>
    <w:unhideWhenUsed/>
    <w:rsid w:val="00DE42B5"/>
    <w:pPr>
      <w:tabs>
        <w:tab w:val="center" w:pos="4320"/>
        <w:tab w:val="right" w:pos="8640"/>
      </w:tabs>
    </w:pPr>
  </w:style>
  <w:style w:type="character" w:customStyle="1" w:styleId="FooterChar">
    <w:name w:val="Footer Char"/>
    <w:basedOn w:val="DefaultParagraphFont"/>
    <w:link w:val="Footer"/>
    <w:uiPriority w:val="99"/>
    <w:rsid w:val="00DE42B5"/>
    <w:rPr>
      <w:rFonts w:ascii="Cambria" w:eastAsia="Cambria" w:hAnsi="Cambria" w:cs="Times New Roman"/>
      <w:lang w:eastAsia="en-US"/>
    </w:rPr>
  </w:style>
  <w:style w:type="paragraph" w:styleId="BalloonText">
    <w:name w:val="Balloon Text"/>
    <w:basedOn w:val="Normal"/>
    <w:link w:val="BalloonTextChar"/>
    <w:uiPriority w:val="99"/>
    <w:semiHidden/>
    <w:unhideWhenUsed/>
    <w:rsid w:val="00DE42B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42B5"/>
    <w:rPr>
      <w:rFonts w:ascii="Lucida Grande" w:eastAsia="Cambria"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972440">
      <w:bodyDiv w:val="1"/>
      <w:marLeft w:val="0"/>
      <w:marRight w:val="0"/>
      <w:marTop w:val="0"/>
      <w:marBottom w:val="0"/>
      <w:divBdr>
        <w:top w:val="none" w:sz="0" w:space="0" w:color="auto"/>
        <w:left w:val="none" w:sz="0" w:space="0" w:color="auto"/>
        <w:bottom w:val="none" w:sz="0" w:space="0" w:color="auto"/>
        <w:right w:val="none" w:sz="0" w:space="0" w:color="auto"/>
      </w:divBdr>
      <w:divsChild>
        <w:div w:id="355429825">
          <w:marLeft w:val="0"/>
          <w:marRight w:val="0"/>
          <w:marTop w:val="0"/>
          <w:marBottom w:val="0"/>
          <w:divBdr>
            <w:top w:val="none" w:sz="0" w:space="0" w:color="auto"/>
            <w:left w:val="none" w:sz="0" w:space="0" w:color="auto"/>
            <w:bottom w:val="none" w:sz="0" w:space="0" w:color="auto"/>
            <w:right w:val="none" w:sz="0" w:space="0" w:color="auto"/>
          </w:divBdr>
          <w:divsChild>
            <w:div w:id="73822214">
              <w:marLeft w:val="0"/>
              <w:marRight w:val="0"/>
              <w:marTop w:val="0"/>
              <w:marBottom w:val="0"/>
              <w:divBdr>
                <w:top w:val="none" w:sz="0" w:space="0" w:color="auto"/>
                <w:left w:val="none" w:sz="0" w:space="0" w:color="auto"/>
                <w:bottom w:val="none" w:sz="0" w:space="0" w:color="auto"/>
                <w:right w:val="none" w:sz="0" w:space="0" w:color="auto"/>
              </w:divBdr>
            </w:div>
            <w:div w:id="1230530643">
              <w:marLeft w:val="0"/>
              <w:marRight w:val="0"/>
              <w:marTop w:val="0"/>
              <w:marBottom w:val="0"/>
              <w:divBdr>
                <w:top w:val="none" w:sz="0" w:space="0" w:color="auto"/>
                <w:left w:val="none" w:sz="0" w:space="0" w:color="auto"/>
                <w:bottom w:val="none" w:sz="0" w:space="0" w:color="auto"/>
                <w:right w:val="none" w:sz="0" w:space="0" w:color="auto"/>
              </w:divBdr>
            </w:div>
            <w:div w:id="1685790377">
              <w:marLeft w:val="0"/>
              <w:marRight w:val="0"/>
              <w:marTop w:val="0"/>
              <w:marBottom w:val="0"/>
              <w:divBdr>
                <w:top w:val="none" w:sz="0" w:space="0" w:color="auto"/>
                <w:left w:val="none" w:sz="0" w:space="0" w:color="auto"/>
                <w:bottom w:val="none" w:sz="0" w:space="0" w:color="auto"/>
                <w:right w:val="none" w:sz="0" w:space="0" w:color="auto"/>
              </w:divBdr>
            </w:div>
            <w:div w:id="1570845148">
              <w:marLeft w:val="0"/>
              <w:marRight w:val="0"/>
              <w:marTop w:val="0"/>
              <w:marBottom w:val="0"/>
              <w:divBdr>
                <w:top w:val="none" w:sz="0" w:space="0" w:color="auto"/>
                <w:left w:val="none" w:sz="0" w:space="0" w:color="auto"/>
                <w:bottom w:val="none" w:sz="0" w:space="0" w:color="auto"/>
                <w:right w:val="none" w:sz="0" w:space="0" w:color="auto"/>
              </w:divBdr>
            </w:div>
            <w:div w:id="1696299463">
              <w:marLeft w:val="0"/>
              <w:marRight w:val="0"/>
              <w:marTop w:val="0"/>
              <w:marBottom w:val="0"/>
              <w:divBdr>
                <w:top w:val="none" w:sz="0" w:space="0" w:color="auto"/>
                <w:left w:val="none" w:sz="0" w:space="0" w:color="auto"/>
                <w:bottom w:val="none" w:sz="0" w:space="0" w:color="auto"/>
                <w:right w:val="none" w:sz="0" w:space="0" w:color="auto"/>
              </w:divBdr>
            </w:div>
            <w:div w:id="1813330518">
              <w:marLeft w:val="0"/>
              <w:marRight w:val="0"/>
              <w:marTop w:val="0"/>
              <w:marBottom w:val="0"/>
              <w:divBdr>
                <w:top w:val="none" w:sz="0" w:space="0" w:color="auto"/>
                <w:left w:val="none" w:sz="0" w:space="0" w:color="auto"/>
                <w:bottom w:val="none" w:sz="0" w:space="0" w:color="auto"/>
                <w:right w:val="none" w:sz="0" w:space="0" w:color="auto"/>
              </w:divBdr>
            </w:div>
            <w:div w:id="149491132">
              <w:marLeft w:val="0"/>
              <w:marRight w:val="0"/>
              <w:marTop w:val="0"/>
              <w:marBottom w:val="0"/>
              <w:divBdr>
                <w:top w:val="none" w:sz="0" w:space="0" w:color="auto"/>
                <w:left w:val="none" w:sz="0" w:space="0" w:color="auto"/>
                <w:bottom w:val="none" w:sz="0" w:space="0" w:color="auto"/>
                <w:right w:val="none" w:sz="0" w:space="0" w:color="auto"/>
              </w:divBdr>
            </w:div>
            <w:div w:id="2026205393">
              <w:marLeft w:val="0"/>
              <w:marRight w:val="0"/>
              <w:marTop w:val="0"/>
              <w:marBottom w:val="0"/>
              <w:divBdr>
                <w:top w:val="none" w:sz="0" w:space="0" w:color="auto"/>
                <w:left w:val="none" w:sz="0" w:space="0" w:color="auto"/>
                <w:bottom w:val="none" w:sz="0" w:space="0" w:color="auto"/>
                <w:right w:val="none" w:sz="0" w:space="0" w:color="auto"/>
              </w:divBdr>
            </w:div>
            <w:div w:id="978613346">
              <w:marLeft w:val="0"/>
              <w:marRight w:val="0"/>
              <w:marTop w:val="0"/>
              <w:marBottom w:val="0"/>
              <w:divBdr>
                <w:top w:val="none" w:sz="0" w:space="0" w:color="auto"/>
                <w:left w:val="none" w:sz="0" w:space="0" w:color="auto"/>
                <w:bottom w:val="none" w:sz="0" w:space="0" w:color="auto"/>
                <w:right w:val="none" w:sz="0" w:space="0" w:color="auto"/>
              </w:divBdr>
            </w:div>
            <w:div w:id="2041709511">
              <w:marLeft w:val="0"/>
              <w:marRight w:val="0"/>
              <w:marTop w:val="0"/>
              <w:marBottom w:val="0"/>
              <w:divBdr>
                <w:top w:val="none" w:sz="0" w:space="0" w:color="auto"/>
                <w:left w:val="none" w:sz="0" w:space="0" w:color="auto"/>
                <w:bottom w:val="none" w:sz="0" w:space="0" w:color="auto"/>
                <w:right w:val="none" w:sz="0" w:space="0" w:color="auto"/>
              </w:divBdr>
            </w:div>
            <w:div w:id="1674920266">
              <w:marLeft w:val="0"/>
              <w:marRight w:val="0"/>
              <w:marTop w:val="0"/>
              <w:marBottom w:val="0"/>
              <w:divBdr>
                <w:top w:val="none" w:sz="0" w:space="0" w:color="auto"/>
                <w:left w:val="none" w:sz="0" w:space="0" w:color="auto"/>
                <w:bottom w:val="none" w:sz="0" w:space="0" w:color="auto"/>
                <w:right w:val="none" w:sz="0" w:space="0" w:color="auto"/>
              </w:divBdr>
            </w:div>
            <w:div w:id="1014646151">
              <w:marLeft w:val="0"/>
              <w:marRight w:val="0"/>
              <w:marTop w:val="0"/>
              <w:marBottom w:val="0"/>
              <w:divBdr>
                <w:top w:val="none" w:sz="0" w:space="0" w:color="auto"/>
                <w:left w:val="none" w:sz="0" w:space="0" w:color="auto"/>
                <w:bottom w:val="none" w:sz="0" w:space="0" w:color="auto"/>
                <w:right w:val="none" w:sz="0" w:space="0" w:color="auto"/>
              </w:divBdr>
            </w:div>
            <w:div w:id="1854373443">
              <w:marLeft w:val="0"/>
              <w:marRight w:val="0"/>
              <w:marTop w:val="0"/>
              <w:marBottom w:val="0"/>
              <w:divBdr>
                <w:top w:val="none" w:sz="0" w:space="0" w:color="auto"/>
                <w:left w:val="none" w:sz="0" w:space="0" w:color="auto"/>
                <w:bottom w:val="none" w:sz="0" w:space="0" w:color="auto"/>
                <w:right w:val="none" w:sz="0" w:space="0" w:color="auto"/>
              </w:divBdr>
            </w:div>
            <w:div w:id="160438214">
              <w:marLeft w:val="0"/>
              <w:marRight w:val="0"/>
              <w:marTop w:val="0"/>
              <w:marBottom w:val="0"/>
              <w:divBdr>
                <w:top w:val="none" w:sz="0" w:space="0" w:color="auto"/>
                <w:left w:val="none" w:sz="0" w:space="0" w:color="auto"/>
                <w:bottom w:val="none" w:sz="0" w:space="0" w:color="auto"/>
                <w:right w:val="none" w:sz="0" w:space="0" w:color="auto"/>
              </w:divBdr>
            </w:div>
            <w:div w:id="526482848">
              <w:marLeft w:val="0"/>
              <w:marRight w:val="0"/>
              <w:marTop w:val="0"/>
              <w:marBottom w:val="0"/>
              <w:divBdr>
                <w:top w:val="none" w:sz="0" w:space="0" w:color="auto"/>
                <w:left w:val="none" w:sz="0" w:space="0" w:color="auto"/>
                <w:bottom w:val="none" w:sz="0" w:space="0" w:color="auto"/>
                <w:right w:val="none" w:sz="0" w:space="0" w:color="auto"/>
              </w:divBdr>
            </w:div>
            <w:div w:id="449324473">
              <w:marLeft w:val="0"/>
              <w:marRight w:val="0"/>
              <w:marTop w:val="0"/>
              <w:marBottom w:val="0"/>
              <w:divBdr>
                <w:top w:val="none" w:sz="0" w:space="0" w:color="auto"/>
                <w:left w:val="none" w:sz="0" w:space="0" w:color="auto"/>
                <w:bottom w:val="none" w:sz="0" w:space="0" w:color="auto"/>
                <w:right w:val="none" w:sz="0" w:space="0" w:color="auto"/>
              </w:divBdr>
            </w:div>
            <w:div w:id="1215846889">
              <w:marLeft w:val="0"/>
              <w:marRight w:val="0"/>
              <w:marTop w:val="0"/>
              <w:marBottom w:val="0"/>
              <w:divBdr>
                <w:top w:val="none" w:sz="0" w:space="0" w:color="auto"/>
                <w:left w:val="none" w:sz="0" w:space="0" w:color="auto"/>
                <w:bottom w:val="none" w:sz="0" w:space="0" w:color="auto"/>
                <w:right w:val="none" w:sz="0" w:space="0" w:color="auto"/>
              </w:divBdr>
            </w:div>
            <w:div w:id="1356225983">
              <w:marLeft w:val="0"/>
              <w:marRight w:val="0"/>
              <w:marTop w:val="0"/>
              <w:marBottom w:val="0"/>
              <w:divBdr>
                <w:top w:val="none" w:sz="0" w:space="0" w:color="auto"/>
                <w:left w:val="none" w:sz="0" w:space="0" w:color="auto"/>
                <w:bottom w:val="none" w:sz="0" w:space="0" w:color="auto"/>
                <w:right w:val="none" w:sz="0" w:space="0" w:color="auto"/>
              </w:divBdr>
            </w:div>
            <w:div w:id="326323461">
              <w:marLeft w:val="0"/>
              <w:marRight w:val="0"/>
              <w:marTop w:val="0"/>
              <w:marBottom w:val="0"/>
              <w:divBdr>
                <w:top w:val="none" w:sz="0" w:space="0" w:color="auto"/>
                <w:left w:val="none" w:sz="0" w:space="0" w:color="auto"/>
                <w:bottom w:val="none" w:sz="0" w:space="0" w:color="auto"/>
                <w:right w:val="none" w:sz="0" w:space="0" w:color="auto"/>
              </w:divBdr>
            </w:div>
            <w:div w:id="1213662629">
              <w:marLeft w:val="0"/>
              <w:marRight w:val="0"/>
              <w:marTop w:val="0"/>
              <w:marBottom w:val="0"/>
              <w:divBdr>
                <w:top w:val="none" w:sz="0" w:space="0" w:color="auto"/>
                <w:left w:val="none" w:sz="0" w:space="0" w:color="auto"/>
                <w:bottom w:val="none" w:sz="0" w:space="0" w:color="auto"/>
                <w:right w:val="none" w:sz="0" w:space="0" w:color="auto"/>
              </w:divBdr>
            </w:div>
            <w:div w:id="531920909">
              <w:marLeft w:val="0"/>
              <w:marRight w:val="0"/>
              <w:marTop w:val="0"/>
              <w:marBottom w:val="0"/>
              <w:divBdr>
                <w:top w:val="none" w:sz="0" w:space="0" w:color="auto"/>
                <w:left w:val="none" w:sz="0" w:space="0" w:color="auto"/>
                <w:bottom w:val="none" w:sz="0" w:space="0" w:color="auto"/>
                <w:right w:val="none" w:sz="0" w:space="0" w:color="auto"/>
              </w:divBdr>
            </w:div>
            <w:div w:id="712969507">
              <w:marLeft w:val="0"/>
              <w:marRight w:val="0"/>
              <w:marTop w:val="0"/>
              <w:marBottom w:val="0"/>
              <w:divBdr>
                <w:top w:val="none" w:sz="0" w:space="0" w:color="auto"/>
                <w:left w:val="none" w:sz="0" w:space="0" w:color="auto"/>
                <w:bottom w:val="none" w:sz="0" w:space="0" w:color="auto"/>
                <w:right w:val="none" w:sz="0" w:space="0" w:color="auto"/>
              </w:divBdr>
            </w:div>
            <w:div w:id="290482319">
              <w:marLeft w:val="0"/>
              <w:marRight w:val="0"/>
              <w:marTop w:val="0"/>
              <w:marBottom w:val="0"/>
              <w:divBdr>
                <w:top w:val="none" w:sz="0" w:space="0" w:color="auto"/>
                <w:left w:val="none" w:sz="0" w:space="0" w:color="auto"/>
                <w:bottom w:val="none" w:sz="0" w:space="0" w:color="auto"/>
                <w:right w:val="none" w:sz="0" w:space="0" w:color="auto"/>
              </w:divBdr>
            </w:div>
            <w:div w:id="1817991195">
              <w:marLeft w:val="0"/>
              <w:marRight w:val="0"/>
              <w:marTop w:val="0"/>
              <w:marBottom w:val="0"/>
              <w:divBdr>
                <w:top w:val="none" w:sz="0" w:space="0" w:color="auto"/>
                <w:left w:val="none" w:sz="0" w:space="0" w:color="auto"/>
                <w:bottom w:val="none" w:sz="0" w:space="0" w:color="auto"/>
                <w:right w:val="none" w:sz="0" w:space="0" w:color="auto"/>
              </w:divBdr>
            </w:div>
            <w:div w:id="912659086">
              <w:marLeft w:val="0"/>
              <w:marRight w:val="0"/>
              <w:marTop w:val="0"/>
              <w:marBottom w:val="0"/>
              <w:divBdr>
                <w:top w:val="none" w:sz="0" w:space="0" w:color="auto"/>
                <w:left w:val="none" w:sz="0" w:space="0" w:color="auto"/>
                <w:bottom w:val="none" w:sz="0" w:space="0" w:color="auto"/>
                <w:right w:val="none" w:sz="0" w:space="0" w:color="auto"/>
              </w:divBdr>
            </w:div>
            <w:div w:id="1838686905">
              <w:marLeft w:val="0"/>
              <w:marRight w:val="0"/>
              <w:marTop w:val="0"/>
              <w:marBottom w:val="0"/>
              <w:divBdr>
                <w:top w:val="none" w:sz="0" w:space="0" w:color="auto"/>
                <w:left w:val="none" w:sz="0" w:space="0" w:color="auto"/>
                <w:bottom w:val="none" w:sz="0" w:space="0" w:color="auto"/>
                <w:right w:val="none" w:sz="0" w:space="0" w:color="auto"/>
              </w:divBdr>
            </w:div>
            <w:div w:id="595213739">
              <w:marLeft w:val="0"/>
              <w:marRight w:val="0"/>
              <w:marTop w:val="0"/>
              <w:marBottom w:val="0"/>
              <w:divBdr>
                <w:top w:val="none" w:sz="0" w:space="0" w:color="auto"/>
                <w:left w:val="none" w:sz="0" w:space="0" w:color="auto"/>
                <w:bottom w:val="none" w:sz="0" w:space="0" w:color="auto"/>
                <w:right w:val="none" w:sz="0" w:space="0" w:color="auto"/>
              </w:divBdr>
            </w:div>
            <w:div w:id="1855531957">
              <w:marLeft w:val="0"/>
              <w:marRight w:val="0"/>
              <w:marTop w:val="0"/>
              <w:marBottom w:val="0"/>
              <w:divBdr>
                <w:top w:val="none" w:sz="0" w:space="0" w:color="auto"/>
                <w:left w:val="none" w:sz="0" w:space="0" w:color="auto"/>
                <w:bottom w:val="none" w:sz="0" w:space="0" w:color="auto"/>
                <w:right w:val="none" w:sz="0" w:space="0" w:color="auto"/>
              </w:divBdr>
            </w:div>
            <w:div w:id="1605378800">
              <w:marLeft w:val="0"/>
              <w:marRight w:val="0"/>
              <w:marTop w:val="0"/>
              <w:marBottom w:val="0"/>
              <w:divBdr>
                <w:top w:val="none" w:sz="0" w:space="0" w:color="auto"/>
                <w:left w:val="none" w:sz="0" w:space="0" w:color="auto"/>
                <w:bottom w:val="none" w:sz="0" w:space="0" w:color="auto"/>
                <w:right w:val="none" w:sz="0" w:space="0" w:color="auto"/>
              </w:divBdr>
            </w:div>
            <w:div w:id="1559507947">
              <w:marLeft w:val="0"/>
              <w:marRight w:val="0"/>
              <w:marTop w:val="0"/>
              <w:marBottom w:val="0"/>
              <w:divBdr>
                <w:top w:val="none" w:sz="0" w:space="0" w:color="auto"/>
                <w:left w:val="none" w:sz="0" w:space="0" w:color="auto"/>
                <w:bottom w:val="none" w:sz="0" w:space="0" w:color="auto"/>
                <w:right w:val="none" w:sz="0" w:space="0" w:color="auto"/>
              </w:divBdr>
            </w:div>
            <w:div w:id="1443958603">
              <w:marLeft w:val="0"/>
              <w:marRight w:val="0"/>
              <w:marTop w:val="0"/>
              <w:marBottom w:val="0"/>
              <w:divBdr>
                <w:top w:val="none" w:sz="0" w:space="0" w:color="auto"/>
                <w:left w:val="none" w:sz="0" w:space="0" w:color="auto"/>
                <w:bottom w:val="none" w:sz="0" w:space="0" w:color="auto"/>
                <w:right w:val="none" w:sz="0" w:space="0" w:color="auto"/>
              </w:divBdr>
            </w:div>
            <w:div w:id="1166895654">
              <w:marLeft w:val="0"/>
              <w:marRight w:val="0"/>
              <w:marTop w:val="0"/>
              <w:marBottom w:val="0"/>
              <w:divBdr>
                <w:top w:val="none" w:sz="0" w:space="0" w:color="auto"/>
                <w:left w:val="none" w:sz="0" w:space="0" w:color="auto"/>
                <w:bottom w:val="none" w:sz="0" w:space="0" w:color="auto"/>
                <w:right w:val="none" w:sz="0" w:space="0" w:color="auto"/>
              </w:divBdr>
            </w:div>
            <w:div w:id="1646543590">
              <w:marLeft w:val="0"/>
              <w:marRight w:val="0"/>
              <w:marTop w:val="0"/>
              <w:marBottom w:val="0"/>
              <w:divBdr>
                <w:top w:val="none" w:sz="0" w:space="0" w:color="auto"/>
                <w:left w:val="none" w:sz="0" w:space="0" w:color="auto"/>
                <w:bottom w:val="none" w:sz="0" w:space="0" w:color="auto"/>
                <w:right w:val="none" w:sz="0" w:space="0" w:color="auto"/>
              </w:divBdr>
            </w:div>
            <w:div w:id="2062710463">
              <w:marLeft w:val="0"/>
              <w:marRight w:val="0"/>
              <w:marTop w:val="0"/>
              <w:marBottom w:val="0"/>
              <w:divBdr>
                <w:top w:val="none" w:sz="0" w:space="0" w:color="auto"/>
                <w:left w:val="none" w:sz="0" w:space="0" w:color="auto"/>
                <w:bottom w:val="none" w:sz="0" w:space="0" w:color="auto"/>
                <w:right w:val="none" w:sz="0" w:space="0" w:color="auto"/>
              </w:divBdr>
            </w:div>
            <w:div w:id="698360281">
              <w:marLeft w:val="0"/>
              <w:marRight w:val="0"/>
              <w:marTop w:val="0"/>
              <w:marBottom w:val="0"/>
              <w:divBdr>
                <w:top w:val="none" w:sz="0" w:space="0" w:color="auto"/>
                <w:left w:val="none" w:sz="0" w:space="0" w:color="auto"/>
                <w:bottom w:val="none" w:sz="0" w:space="0" w:color="auto"/>
                <w:right w:val="none" w:sz="0" w:space="0" w:color="auto"/>
              </w:divBdr>
            </w:div>
            <w:div w:id="451706286">
              <w:marLeft w:val="0"/>
              <w:marRight w:val="0"/>
              <w:marTop w:val="0"/>
              <w:marBottom w:val="0"/>
              <w:divBdr>
                <w:top w:val="none" w:sz="0" w:space="0" w:color="auto"/>
                <w:left w:val="none" w:sz="0" w:space="0" w:color="auto"/>
                <w:bottom w:val="none" w:sz="0" w:space="0" w:color="auto"/>
                <w:right w:val="none" w:sz="0" w:space="0" w:color="auto"/>
              </w:divBdr>
            </w:div>
            <w:div w:id="929124437">
              <w:marLeft w:val="0"/>
              <w:marRight w:val="0"/>
              <w:marTop w:val="0"/>
              <w:marBottom w:val="0"/>
              <w:divBdr>
                <w:top w:val="none" w:sz="0" w:space="0" w:color="auto"/>
                <w:left w:val="none" w:sz="0" w:space="0" w:color="auto"/>
                <w:bottom w:val="none" w:sz="0" w:space="0" w:color="auto"/>
                <w:right w:val="none" w:sz="0" w:space="0" w:color="auto"/>
              </w:divBdr>
            </w:div>
            <w:div w:id="1517034718">
              <w:marLeft w:val="0"/>
              <w:marRight w:val="0"/>
              <w:marTop w:val="0"/>
              <w:marBottom w:val="0"/>
              <w:divBdr>
                <w:top w:val="none" w:sz="0" w:space="0" w:color="auto"/>
                <w:left w:val="none" w:sz="0" w:space="0" w:color="auto"/>
                <w:bottom w:val="none" w:sz="0" w:space="0" w:color="auto"/>
                <w:right w:val="none" w:sz="0" w:space="0" w:color="auto"/>
              </w:divBdr>
            </w:div>
            <w:div w:id="44261066">
              <w:marLeft w:val="0"/>
              <w:marRight w:val="0"/>
              <w:marTop w:val="0"/>
              <w:marBottom w:val="0"/>
              <w:divBdr>
                <w:top w:val="none" w:sz="0" w:space="0" w:color="auto"/>
                <w:left w:val="none" w:sz="0" w:space="0" w:color="auto"/>
                <w:bottom w:val="none" w:sz="0" w:space="0" w:color="auto"/>
                <w:right w:val="none" w:sz="0" w:space="0" w:color="auto"/>
              </w:divBdr>
            </w:div>
            <w:div w:id="438525766">
              <w:marLeft w:val="0"/>
              <w:marRight w:val="0"/>
              <w:marTop w:val="0"/>
              <w:marBottom w:val="0"/>
              <w:divBdr>
                <w:top w:val="none" w:sz="0" w:space="0" w:color="auto"/>
                <w:left w:val="none" w:sz="0" w:space="0" w:color="auto"/>
                <w:bottom w:val="none" w:sz="0" w:space="0" w:color="auto"/>
                <w:right w:val="none" w:sz="0" w:space="0" w:color="auto"/>
              </w:divBdr>
            </w:div>
            <w:div w:id="801919371">
              <w:marLeft w:val="0"/>
              <w:marRight w:val="0"/>
              <w:marTop w:val="0"/>
              <w:marBottom w:val="0"/>
              <w:divBdr>
                <w:top w:val="none" w:sz="0" w:space="0" w:color="auto"/>
                <w:left w:val="none" w:sz="0" w:space="0" w:color="auto"/>
                <w:bottom w:val="none" w:sz="0" w:space="0" w:color="auto"/>
                <w:right w:val="none" w:sz="0" w:space="0" w:color="auto"/>
              </w:divBdr>
            </w:div>
            <w:div w:id="1828785403">
              <w:marLeft w:val="0"/>
              <w:marRight w:val="0"/>
              <w:marTop w:val="0"/>
              <w:marBottom w:val="0"/>
              <w:divBdr>
                <w:top w:val="none" w:sz="0" w:space="0" w:color="auto"/>
                <w:left w:val="none" w:sz="0" w:space="0" w:color="auto"/>
                <w:bottom w:val="none" w:sz="0" w:space="0" w:color="auto"/>
                <w:right w:val="none" w:sz="0" w:space="0" w:color="auto"/>
              </w:divBdr>
            </w:div>
            <w:div w:id="319890073">
              <w:marLeft w:val="0"/>
              <w:marRight w:val="0"/>
              <w:marTop w:val="0"/>
              <w:marBottom w:val="0"/>
              <w:divBdr>
                <w:top w:val="none" w:sz="0" w:space="0" w:color="auto"/>
                <w:left w:val="none" w:sz="0" w:space="0" w:color="auto"/>
                <w:bottom w:val="none" w:sz="0" w:space="0" w:color="auto"/>
                <w:right w:val="none" w:sz="0" w:space="0" w:color="auto"/>
              </w:divBdr>
            </w:div>
            <w:div w:id="1506020230">
              <w:marLeft w:val="0"/>
              <w:marRight w:val="0"/>
              <w:marTop w:val="0"/>
              <w:marBottom w:val="0"/>
              <w:divBdr>
                <w:top w:val="none" w:sz="0" w:space="0" w:color="auto"/>
                <w:left w:val="none" w:sz="0" w:space="0" w:color="auto"/>
                <w:bottom w:val="none" w:sz="0" w:space="0" w:color="auto"/>
                <w:right w:val="none" w:sz="0" w:space="0" w:color="auto"/>
              </w:divBdr>
            </w:div>
            <w:div w:id="565578723">
              <w:marLeft w:val="0"/>
              <w:marRight w:val="0"/>
              <w:marTop w:val="0"/>
              <w:marBottom w:val="0"/>
              <w:divBdr>
                <w:top w:val="none" w:sz="0" w:space="0" w:color="auto"/>
                <w:left w:val="none" w:sz="0" w:space="0" w:color="auto"/>
                <w:bottom w:val="none" w:sz="0" w:space="0" w:color="auto"/>
                <w:right w:val="none" w:sz="0" w:space="0" w:color="auto"/>
              </w:divBdr>
            </w:div>
            <w:div w:id="382145310">
              <w:marLeft w:val="0"/>
              <w:marRight w:val="0"/>
              <w:marTop w:val="0"/>
              <w:marBottom w:val="0"/>
              <w:divBdr>
                <w:top w:val="none" w:sz="0" w:space="0" w:color="auto"/>
                <w:left w:val="none" w:sz="0" w:space="0" w:color="auto"/>
                <w:bottom w:val="none" w:sz="0" w:space="0" w:color="auto"/>
                <w:right w:val="none" w:sz="0" w:space="0" w:color="auto"/>
              </w:divBdr>
            </w:div>
            <w:div w:id="1693653281">
              <w:marLeft w:val="0"/>
              <w:marRight w:val="0"/>
              <w:marTop w:val="0"/>
              <w:marBottom w:val="0"/>
              <w:divBdr>
                <w:top w:val="none" w:sz="0" w:space="0" w:color="auto"/>
                <w:left w:val="none" w:sz="0" w:space="0" w:color="auto"/>
                <w:bottom w:val="none" w:sz="0" w:space="0" w:color="auto"/>
                <w:right w:val="none" w:sz="0" w:space="0" w:color="auto"/>
              </w:divBdr>
            </w:div>
            <w:div w:id="363100765">
              <w:marLeft w:val="0"/>
              <w:marRight w:val="0"/>
              <w:marTop w:val="0"/>
              <w:marBottom w:val="0"/>
              <w:divBdr>
                <w:top w:val="none" w:sz="0" w:space="0" w:color="auto"/>
                <w:left w:val="none" w:sz="0" w:space="0" w:color="auto"/>
                <w:bottom w:val="none" w:sz="0" w:space="0" w:color="auto"/>
                <w:right w:val="none" w:sz="0" w:space="0" w:color="auto"/>
              </w:divBdr>
            </w:div>
            <w:div w:id="2039695758">
              <w:marLeft w:val="0"/>
              <w:marRight w:val="0"/>
              <w:marTop w:val="0"/>
              <w:marBottom w:val="0"/>
              <w:divBdr>
                <w:top w:val="none" w:sz="0" w:space="0" w:color="auto"/>
                <w:left w:val="none" w:sz="0" w:space="0" w:color="auto"/>
                <w:bottom w:val="none" w:sz="0" w:space="0" w:color="auto"/>
                <w:right w:val="none" w:sz="0" w:space="0" w:color="auto"/>
              </w:divBdr>
            </w:div>
            <w:div w:id="1553038101">
              <w:marLeft w:val="0"/>
              <w:marRight w:val="0"/>
              <w:marTop w:val="0"/>
              <w:marBottom w:val="0"/>
              <w:divBdr>
                <w:top w:val="none" w:sz="0" w:space="0" w:color="auto"/>
                <w:left w:val="none" w:sz="0" w:space="0" w:color="auto"/>
                <w:bottom w:val="none" w:sz="0" w:space="0" w:color="auto"/>
                <w:right w:val="none" w:sz="0" w:space="0" w:color="auto"/>
              </w:divBdr>
            </w:div>
            <w:div w:id="1875649625">
              <w:marLeft w:val="0"/>
              <w:marRight w:val="0"/>
              <w:marTop w:val="0"/>
              <w:marBottom w:val="0"/>
              <w:divBdr>
                <w:top w:val="none" w:sz="0" w:space="0" w:color="auto"/>
                <w:left w:val="none" w:sz="0" w:space="0" w:color="auto"/>
                <w:bottom w:val="none" w:sz="0" w:space="0" w:color="auto"/>
                <w:right w:val="none" w:sz="0" w:space="0" w:color="auto"/>
              </w:divBdr>
            </w:div>
            <w:div w:id="1887140425">
              <w:marLeft w:val="0"/>
              <w:marRight w:val="0"/>
              <w:marTop w:val="0"/>
              <w:marBottom w:val="0"/>
              <w:divBdr>
                <w:top w:val="none" w:sz="0" w:space="0" w:color="auto"/>
                <w:left w:val="none" w:sz="0" w:space="0" w:color="auto"/>
                <w:bottom w:val="none" w:sz="0" w:space="0" w:color="auto"/>
                <w:right w:val="none" w:sz="0" w:space="0" w:color="auto"/>
              </w:divBdr>
            </w:div>
            <w:div w:id="2058621136">
              <w:marLeft w:val="0"/>
              <w:marRight w:val="0"/>
              <w:marTop w:val="0"/>
              <w:marBottom w:val="0"/>
              <w:divBdr>
                <w:top w:val="none" w:sz="0" w:space="0" w:color="auto"/>
                <w:left w:val="none" w:sz="0" w:space="0" w:color="auto"/>
                <w:bottom w:val="none" w:sz="0" w:space="0" w:color="auto"/>
                <w:right w:val="none" w:sz="0" w:space="0" w:color="auto"/>
              </w:divBdr>
            </w:div>
            <w:div w:id="2033725543">
              <w:marLeft w:val="0"/>
              <w:marRight w:val="0"/>
              <w:marTop w:val="0"/>
              <w:marBottom w:val="0"/>
              <w:divBdr>
                <w:top w:val="none" w:sz="0" w:space="0" w:color="auto"/>
                <w:left w:val="none" w:sz="0" w:space="0" w:color="auto"/>
                <w:bottom w:val="none" w:sz="0" w:space="0" w:color="auto"/>
                <w:right w:val="none" w:sz="0" w:space="0" w:color="auto"/>
              </w:divBdr>
            </w:div>
            <w:div w:id="2072535833">
              <w:marLeft w:val="0"/>
              <w:marRight w:val="0"/>
              <w:marTop w:val="0"/>
              <w:marBottom w:val="0"/>
              <w:divBdr>
                <w:top w:val="none" w:sz="0" w:space="0" w:color="auto"/>
                <w:left w:val="none" w:sz="0" w:space="0" w:color="auto"/>
                <w:bottom w:val="none" w:sz="0" w:space="0" w:color="auto"/>
                <w:right w:val="none" w:sz="0" w:space="0" w:color="auto"/>
              </w:divBdr>
            </w:div>
            <w:div w:id="145047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80915">
      <w:bodyDiv w:val="1"/>
      <w:marLeft w:val="0"/>
      <w:marRight w:val="0"/>
      <w:marTop w:val="0"/>
      <w:marBottom w:val="0"/>
      <w:divBdr>
        <w:top w:val="none" w:sz="0" w:space="0" w:color="auto"/>
        <w:left w:val="none" w:sz="0" w:space="0" w:color="auto"/>
        <w:bottom w:val="none" w:sz="0" w:space="0" w:color="auto"/>
        <w:right w:val="none" w:sz="0" w:space="0" w:color="auto"/>
      </w:divBdr>
      <w:divsChild>
        <w:div w:id="815102243">
          <w:marLeft w:val="0"/>
          <w:marRight w:val="0"/>
          <w:marTop w:val="0"/>
          <w:marBottom w:val="0"/>
          <w:divBdr>
            <w:top w:val="none" w:sz="0" w:space="0" w:color="auto"/>
            <w:left w:val="none" w:sz="0" w:space="0" w:color="auto"/>
            <w:bottom w:val="none" w:sz="0" w:space="0" w:color="auto"/>
            <w:right w:val="none" w:sz="0" w:space="0" w:color="auto"/>
          </w:divBdr>
        </w:div>
        <w:div w:id="1709144225">
          <w:marLeft w:val="0"/>
          <w:marRight w:val="0"/>
          <w:marTop w:val="0"/>
          <w:marBottom w:val="0"/>
          <w:divBdr>
            <w:top w:val="none" w:sz="0" w:space="0" w:color="auto"/>
            <w:left w:val="none" w:sz="0" w:space="0" w:color="auto"/>
            <w:bottom w:val="none" w:sz="0" w:space="0" w:color="auto"/>
            <w:right w:val="none" w:sz="0" w:space="0" w:color="auto"/>
          </w:divBdr>
        </w:div>
        <w:div w:id="1981300948">
          <w:marLeft w:val="0"/>
          <w:marRight w:val="0"/>
          <w:marTop w:val="0"/>
          <w:marBottom w:val="0"/>
          <w:divBdr>
            <w:top w:val="none" w:sz="0" w:space="0" w:color="auto"/>
            <w:left w:val="none" w:sz="0" w:space="0" w:color="auto"/>
            <w:bottom w:val="none" w:sz="0" w:space="0" w:color="auto"/>
            <w:right w:val="none" w:sz="0" w:space="0" w:color="auto"/>
          </w:divBdr>
        </w:div>
        <w:div w:id="5165082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ih69:Library:Application%20Support:Microsoft:Office:User%20Templates:My%20Templates:arial10singlespa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BAE6D-48F9-8646-A3FD-721603329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arial10singlespace.dotx</Template>
  <TotalTime>5</TotalTime>
  <Pages>4</Pages>
  <Words>1603</Words>
  <Characters>9139</Characters>
  <Application>Microsoft Macintosh Word</Application>
  <DocSecurity>0</DocSecurity>
  <Lines>76</Lines>
  <Paragraphs>21</Paragraphs>
  <ScaleCrop>false</ScaleCrop>
  <Company>UT Austin</Company>
  <LinksUpToDate>false</LinksUpToDate>
  <CharactersWithSpaces>10721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Hereim</dc:creator>
  <cp:keywords/>
  <dc:description/>
  <cp:lastModifiedBy>Microsoft Office User</cp:lastModifiedBy>
  <cp:revision>2</cp:revision>
  <cp:lastPrinted>2013-08-23T19:39:00Z</cp:lastPrinted>
  <dcterms:created xsi:type="dcterms:W3CDTF">2014-03-31T15:12:00Z</dcterms:created>
  <dcterms:modified xsi:type="dcterms:W3CDTF">2014-03-31T15:12:00Z</dcterms:modified>
</cp:coreProperties>
</file>